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C8B8" w14:textId="647AE365" w:rsidR="0057567A" w:rsidRDefault="0057567A" w:rsidP="0057567A">
      <w:pPr>
        <w:widowControl w:val="0"/>
        <w:autoSpaceDE w:val="0"/>
        <w:autoSpaceDN w:val="0"/>
        <w:adjustRightInd w:val="0"/>
        <w:spacing w:before="283" w:line="239" w:lineRule="atLeast"/>
        <w:jc w:val="left"/>
        <w:rPr>
          <w:rFonts w:cs="Arial"/>
          <w:sz w:val="18"/>
          <w:szCs w:val="18"/>
        </w:rPr>
      </w:pPr>
      <w:r w:rsidRPr="0057567A">
        <w:rPr>
          <w:b/>
        </w:rPr>
        <w:t xml:space="preserve">Anlage </w:t>
      </w:r>
      <w:r w:rsidR="008D4F95">
        <w:rPr>
          <w:b/>
        </w:rPr>
        <w:t>1</w:t>
      </w:r>
      <w:r w:rsidRPr="0057567A">
        <w:rPr>
          <w:b/>
        </w:rPr>
        <w:t xml:space="preserve"> zum </w:t>
      </w:r>
      <w:r w:rsidR="006E79B5" w:rsidRPr="006E79B5">
        <w:rPr>
          <w:b/>
          <w:bCs/>
        </w:rPr>
        <w:t xml:space="preserve">Anstellungsvertrag </w:t>
      </w:r>
      <w:r w:rsidRPr="0057567A">
        <w:rPr>
          <w:b/>
        </w:rPr>
        <w:t xml:space="preserve">vom </w:t>
      </w:r>
      <w:proofErr w:type="spellStart"/>
      <w:r w:rsidR="00CE6556">
        <w:rPr>
          <w:b/>
        </w:rPr>
        <w:t>xx.</w:t>
      </w:r>
      <w:proofErr w:type="gramStart"/>
      <w:r w:rsidR="00CE6556">
        <w:rPr>
          <w:b/>
        </w:rPr>
        <w:t>xx.xxxx</w:t>
      </w:r>
      <w:proofErr w:type="spellEnd"/>
      <w:proofErr w:type="gramEnd"/>
      <w:r>
        <w:rPr>
          <w:rFonts w:cs="Arial"/>
          <w:b/>
          <w:color w:val="000000"/>
          <w:sz w:val="18"/>
          <w:szCs w:val="18"/>
        </w:rPr>
        <w:br/>
      </w:r>
    </w:p>
    <w:p w14:paraId="6DF70745" w14:textId="77777777" w:rsidR="0096287B" w:rsidRPr="00D32FF2" w:rsidRDefault="0096287B" w:rsidP="00D32FF2">
      <w:pPr>
        <w:pStyle w:val="TWTextebene"/>
        <w:jc w:val="center"/>
        <w:rPr>
          <w:b/>
        </w:rPr>
      </w:pPr>
      <w:r w:rsidRPr="00D32FF2">
        <w:rPr>
          <w:b/>
        </w:rPr>
        <w:t xml:space="preserve">Verpflichtung gemäß § 5 </w:t>
      </w:r>
      <w:r w:rsidR="00D32FF2" w:rsidRPr="00D32FF2">
        <w:rPr>
          <w:b/>
        </w:rPr>
        <w:t>Bundesdatenschutzgesetz (</w:t>
      </w:r>
      <w:r w:rsidRPr="00D32FF2">
        <w:rPr>
          <w:b/>
        </w:rPr>
        <w:t>BDSG</w:t>
      </w:r>
      <w:r w:rsidR="00D32FF2" w:rsidRPr="00D32FF2">
        <w:rPr>
          <w:b/>
        </w:rPr>
        <w:t>) - Datengeheimnis</w:t>
      </w:r>
    </w:p>
    <w:p w14:paraId="38DEC665" w14:textId="5F068768" w:rsidR="00D32FF2" w:rsidRPr="00D32FF2" w:rsidRDefault="008616CF" w:rsidP="00D32FF2">
      <w:pPr>
        <w:pStyle w:val="TWTextebene"/>
        <w:numPr>
          <w:ilvl w:val="0"/>
          <w:numId w:val="16"/>
        </w:numPr>
      </w:pPr>
      <w:r w:rsidRPr="00501D25">
        <w:rPr>
          <w:color w:val="FF0000"/>
        </w:rPr>
        <w:t>Herr</w:t>
      </w:r>
      <w:r w:rsidR="00CE6556" w:rsidRPr="00501D25">
        <w:rPr>
          <w:color w:val="FF0000"/>
        </w:rPr>
        <w:t>/Frau</w:t>
      </w:r>
      <w:r w:rsidRPr="00501D25">
        <w:rPr>
          <w:color w:val="FF0000"/>
        </w:rPr>
        <w:t xml:space="preserve"> </w:t>
      </w:r>
      <w:r w:rsidR="00CE6556" w:rsidRPr="00501D25">
        <w:rPr>
          <w:color w:val="FF0000"/>
        </w:rPr>
        <w:t>xxx</w:t>
      </w:r>
      <w:r w:rsidRPr="00501D25">
        <w:rPr>
          <w:color w:val="FF0000"/>
        </w:rPr>
        <w:t xml:space="preserve"> </w:t>
      </w:r>
      <w:proofErr w:type="spellStart"/>
      <w:r w:rsidR="00CE6556" w:rsidRPr="00501D25">
        <w:rPr>
          <w:color w:val="FF0000"/>
        </w:rPr>
        <w:t>xxx</w:t>
      </w:r>
      <w:proofErr w:type="spellEnd"/>
      <w:r w:rsidR="00C070F5" w:rsidRPr="00501D25">
        <w:rPr>
          <w:color w:val="FF0000"/>
        </w:rPr>
        <w:t xml:space="preserve"> </w:t>
      </w:r>
      <w:r w:rsidR="00940BB7">
        <w:t xml:space="preserve">übt im Rahmen </w:t>
      </w:r>
      <w:r w:rsidRPr="00501D25">
        <w:rPr>
          <w:color w:val="FF0000"/>
        </w:rPr>
        <w:t>seiner</w:t>
      </w:r>
      <w:r w:rsidR="00CE6556" w:rsidRPr="00501D25">
        <w:rPr>
          <w:color w:val="FF0000"/>
        </w:rPr>
        <w:t>/ihrer</w:t>
      </w:r>
      <w:r w:rsidR="00D32FF2" w:rsidRPr="00501D25">
        <w:rPr>
          <w:color w:val="FF0000"/>
        </w:rPr>
        <w:t xml:space="preserve"> </w:t>
      </w:r>
      <w:r w:rsidR="00D32FF2" w:rsidRPr="00D32FF2">
        <w:t xml:space="preserve">Tätigkeit als </w:t>
      </w:r>
      <w:r w:rsidR="00501D25" w:rsidRPr="00501D25">
        <w:rPr>
          <w:rFonts w:cs="Arial"/>
          <w:color w:val="FF0000"/>
        </w:rPr>
        <w:t>xxx</w:t>
      </w:r>
      <w:r w:rsidR="00FA7DCF" w:rsidRPr="00501D25">
        <w:rPr>
          <w:rFonts w:cs="Arial"/>
          <w:color w:val="FF0000"/>
        </w:rPr>
        <w:t xml:space="preserve"> </w:t>
      </w:r>
      <w:r w:rsidR="00D32FF2" w:rsidRPr="00D32FF2">
        <w:t xml:space="preserve">eine datenverarbeitende Tätigkeit im </w:t>
      </w:r>
      <w:r w:rsidR="00940BB7">
        <w:t xml:space="preserve">Sinne des BDSG aus. </w:t>
      </w:r>
      <w:r>
        <w:t>ER</w:t>
      </w:r>
      <w:r w:rsidR="00D32FF2" w:rsidRPr="00D32FF2">
        <w:t xml:space="preserve"> erhält dabei Kenntnis von personenbezogenen Daten, d.h. von Einzelangaben über persönliche oder sachliche Verhältnisse bestimmter oder bestimmbarer natürlicher Personen. </w:t>
      </w:r>
    </w:p>
    <w:p w14:paraId="556DF2EC" w14:textId="4E332CB8" w:rsidR="0096287B" w:rsidRDefault="00CB5B31" w:rsidP="00D32FF2">
      <w:pPr>
        <w:pStyle w:val="TWTextebene"/>
        <w:numPr>
          <w:ilvl w:val="0"/>
          <w:numId w:val="16"/>
        </w:numPr>
      </w:pPr>
      <w:r w:rsidRPr="00501D25">
        <w:rPr>
          <w:color w:val="FF0000"/>
        </w:rPr>
        <w:t xml:space="preserve">Herr/Frau xxx </w:t>
      </w:r>
      <w:proofErr w:type="spellStart"/>
      <w:r w:rsidRPr="00501D25">
        <w:rPr>
          <w:color w:val="FF0000"/>
        </w:rPr>
        <w:t>xxx</w:t>
      </w:r>
      <w:proofErr w:type="spellEnd"/>
      <w:r w:rsidRPr="00501D25">
        <w:rPr>
          <w:color w:val="FF0000"/>
        </w:rPr>
        <w:t xml:space="preserve"> </w:t>
      </w:r>
      <w:r w:rsidR="0096287B">
        <w:t>wurde heute darüber</w:t>
      </w:r>
      <w:r w:rsidR="00940BB7">
        <w:t xml:space="preserve"> </w:t>
      </w:r>
      <w:r w:rsidR="0096287B">
        <w:t>belehrt, dass es den bei der Datenverarbeitung beschäftigten Personen untersagt ist,</w:t>
      </w:r>
      <w:r w:rsidR="00CE7595">
        <w:t xml:space="preserve"> </w:t>
      </w:r>
      <w:r w:rsidR="0096287B">
        <w:t>personenbezogene Daten unbefugt zu erheben, zu verarbeiten oder zu nutzen (Datengeheimnis).</w:t>
      </w:r>
      <w:r w:rsidR="00940BB7">
        <w:t xml:space="preserve"> </w:t>
      </w:r>
      <w:r w:rsidR="008616CF" w:rsidRPr="00CB5B31">
        <w:rPr>
          <w:color w:val="FF0000"/>
        </w:rPr>
        <w:t>Er</w:t>
      </w:r>
      <w:r w:rsidRPr="00CB5B31">
        <w:rPr>
          <w:color w:val="FF0000"/>
        </w:rPr>
        <w:t xml:space="preserve">/sie </w:t>
      </w:r>
      <w:r w:rsidR="0096287B">
        <w:t>wurde auf die Wahrung dieses Datengeheimnisses verpflichtet. Diese Verpflichtung besteht auch</w:t>
      </w:r>
      <w:r w:rsidR="00CE7595">
        <w:t xml:space="preserve"> </w:t>
      </w:r>
      <w:r w:rsidR="0096287B">
        <w:t>nach Beendigung der Tätigkeit fort.</w:t>
      </w:r>
      <w:r w:rsidR="00CE7595">
        <w:t xml:space="preserve"> </w:t>
      </w:r>
    </w:p>
    <w:p w14:paraId="760D2697" w14:textId="77777777" w:rsidR="0096287B" w:rsidRDefault="0096287B" w:rsidP="00D32FF2">
      <w:pPr>
        <w:pStyle w:val="TWTextebene"/>
        <w:numPr>
          <w:ilvl w:val="0"/>
          <w:numId w:val="16"/>
        </w:numPr>
      </w:pPr>
      <w:r>
        <w:t>Verstöße gegen das Datengeheimnis können nach §§ 43 BDSG mit Bußgeld und nach § 44 BDSG mit Geld</w:t>
      </w:r>
      <w:r w:rsidR="00CE7595">
        <w:t xml:space="preserve">- </w:t>
      </w:r>
      <w:r>
        <w:t>oder</w:t>
      </w:r>
      <w:r w:rsidR="00CE7595">
        <w:t xml:space="preserve"> </w:t>
      </w:r>
      <w:r>
        <w:t>Freiheitsstrafe geahndet werden. Eine Verletzung des Datengeheimnisses kann zugleich eine Verletzung</w:t>
      </w:r>
      <w:r w:rsidR="00CE7595">
        <w:t xml:space="preserve"> </w:t>
      </w:r>
      <w:r>
        <w:t>von arbeitsvertrag</w:t>
      </w:r>
      <w:r w:rsidR="00CC2E30">
        <w:t>lichen Pflichten oder speziellen</w:t>
      </w:r>
      <w:r>
        <w:t xml:space="preserve"> Geheimhaltungspflichten darstellen.</w:t>
      </w:r>
      <w:r w:rsidR="00D32FF2">
        <w:t xml:space="preserve"> </w:t>
      </w:r>
      <w:r w:rsidR="00034DD4">
        <w:t>Des Weiteren wird auf Ihre a</w:t>
      </w:r>
      <w:r w:rsidR="00D32FF2">
        <w:t xml:space="preserve">llgemeine Verschwiegenheitspflicht verwiesen. Diese bleibt von dieser Verpflichtungserklärung unberührt und gilt unverändert fort. </w:t>
      </w:r>
    </w:p>
    <w:p w14:paraId="718E6D68" w14:textId="77777777" w:rsidR="00CE7595" w:rsidRPr="00C82E63" w:rsidRDefault="00BD6F22" w:rsidP="0096287B">
      <w:pPr>
        <w:pStyle w:val="Listenabsatz"/>
        <w:numPr>
          <w:ilvl w:val="0"/>
          <w:numId w:val="16"/>
        </w:numPr>
        <w:rPr>
          <w:rFonts w:cs="Arial"/>
        </w:rPr>
      </w:pPr>
      <w:r w:rsidRPr="00D32FF2">
        <w:rPr>
          <w:rFonts w:ascii="ArialMT" w:hAnsi="ArialMT" w:cs="ArialMT"/>
        </w:rPr>
        <w:t xml:space="preserve">Bei weiteren Fragen wenden Sie sich gerne an </w:t>
      </w:r>
      <w:r w:rsidR="00D32FF2" w:rsidRPr="00940BB7">
        <w:rPr>
          <w:rFonts w:ascii="ArialMT" w:hAnsi="ArialMT" w:cs="ArialMT"/>
        </w:rPr>
        <w:t xml:space="preserve">Ihren </w:t>
      </w:r>
      <w:r w:rsidR="00940BB7">
        <w:t>jeweiligen Vorgesetzten oder an:</w:t>
      </w:r>
      <w:r w:rsidR="00940BB7" w:rsidRPr="00940BB7">
        <w:rPr>
          <w:rFonts w:ascii="ArialMT" w:hAnsi="ArialMT" w:cs="ArialMT"/>
        </w:rPr>
        <w:t xml:space="preserve"> Christoph Jöckel, Uhlandstr. 1, 10623 Berlin, Tel.: 0175-2255511</w:t>
      </w:r>
      <w:r w:rsidRPr="00D32FF2">
        <w:rPr>
          <w:rFonts w:ascii="ArialMT" w:hAnsi="ArialMT" w:cs="ArialMT"/>
        </w:rPr>
        <w:t>.</w:t>
      </w:r>
    </w:p>
    <w:p w14:paraId="0008270C" w14:textId="06AA4460" w:rsidR="0096287B" w:rsidRDefault="0096287B" w:rsidP="0096287B">
      <w:pPr>
        <w:pStyle w:val="TWTextebene"/>
      </w:pPr>
      <w:proofErr w:type="gramStart"/>
      <w:r>
        <w:t>Ich</w:t>
      </w:r>
      <w:r w:rsidR="00CE7595">
        <w:t xml:space="preserve">, </w:t>
      </w:r>
      <w:r w:rsidR="00055E82" w:rsidRPr="00501D25">
        <w:rPr>
          <w:color w:val="FF0000"/>
        </w:rPr>
        <w:t xml:space="preserve"> xxx</w:t>
      </w:r>
      <w:proofErr w:type="gramEnd"/>
      <w:r w:rsidR="00055E82" w:rsidRPr="00501D25">
        <w:rPr>
          <w:color w:val="FF0000"/>
        </w:rPr>
        <w:t xml:space="preserve"> </w:t>
      </w:r>
      <w:proofErr w:type="spellStart"/>
      <w:r w:rsidR="00055E82" w:rsidRPr="00501D25">
        <w:rPr>
          <w:color w:val="FF0000"/>
        </w:rPr>
        <w:t>xxx</w:t>
      </w:r>
      <w:proofErr w:type="spellEnd"/>
      <w:r w:rsidR="00CE7595">
        <w:t>,</w:t>
      </w:r>
      <w:r>
        <w:t xml:space="preserve"> bestätige diese Verpflichtung. Ein </w:t>
      </w:r>
      <w:r w:rsidR="00C82E63">
        <w:t xml:space="preserve">Exemplar der Verpflichtung nebst den dazugehörigen </w:t>
      </w:r>
      <w:r w:rsidR="00C82E63" w:rsidRPr="00C82E63">
        <w:rPr>
          <w:b/>
          <w:u w:val="single"/>
        </w:rPr>
        <w:t>Anlagen</w:t>
      </w:r>
      <w:r w:rsidR="00C82E63">
        <w:t xml:space="preserve"> (i)</w:t>
      </w:r>
      <w:r>
        <w:t xml:space="preserve"> Merkblatt mit Erläuterungen</w:t>
      </w:r>
      <w:r w:rsidR="00CE7595">
        <w:t xml:space="preserve"> </w:t>
      </w:r>
      <w:r>
        <w:t xml:space="preserve">und </w:t>
      </w:r>
      <w:r w:rsidR="00C82E63">
        <w:t xml:space="preserve">(ii) </w:t>
      </w:r>
      <w:r>
        <w:t>dem Text der §§ 5, 43 und 44 BDSG habe ich erhalten.</w:t>
      </w:r>
    </w:p>
    <w:p w14:paraId="53CE9900" w14:textId="77777777" w:rsidR="00C82E63" w:rsidRDefault="00C82E63" w:rsidP="00C82E63">
      <w:pPr>
        <w:spacing w:after="0"/>
      </w:pPr>
      <w:r>
        <w:t>Berlin, den ______________</w:t>
      </w:r>
      <w:r>
        <w:tab/>
      </w:r>
      <w:r>
        <w:tab/>
      </w:r>
      <w:r>
        <w:tab/>
      </w:r>
      <w:r>
        <w:tab/>
      </w:r>
      <w:r>
        <w:tab/>
        <w:t>_____________________________</w:t>
      </w:r>
    </w:p>
    <w:p w14:paraId="37D08432" w14:textId="77777777" w:rsidR="00C82E63" w:rsidRDefault="00C82E63" w:rsidP="00C82E63">
      <w:pPr>
        <w:spacing w:after="0"/>
      </w:pPr>
      <w:r>
        <w:tab/>
      </w:r>
      <w:r>
        <w:tab/>
      </w:r>
      <w:r>
        <w:tab/>
      </w:r>
      <w:r>
        <w:tab/>
      </w:r>
      <w:r>
        <w:tab/>
      </w:r>
      <w:r>
        <w:tab/>
      </w:r>
      <w:r>
        <w:tab/>
      </w:r>
      <w:r>
        <w:tab/>
        <w:t>(Unterschrift)</w:t>
      </w:r>
    </w:p>
    <w:p w14:paraId="556C488E" w14:textId="77777777" w:rsidR="00C82E63" w:rsidRDefault="00C82E63"/>
    <w:p w14:paraId="362859FC" w14:textId="77777777" w:rsidR="00C82E63" w:rsidRDefault="00C82E63"/>
    <w:p w14:paraId="4510EFB0" w14:textId="77777777" w:rsidR="00CE7595" w:rsidRDefault="00CE7595">
      <w:r>
        <w:br w:type="page"/>
      </w:r>
    </w:p>
    <w:p w14:paraId="35C8164B" w14:textId="77777777" w:rsidR="0096287B" w:rsidRDefault="0096287B" w:rsidP="00CE7595">
      <w:pPr>
        <w:pStyle w:val="TWTextebene"/>
        <w:jc w:val="center"/>
        <w:rPr>
          <w:b/>
        </w:rPr>
      </w:pPr>
      <w:r w:rsidRPr="00CE7595">
        <w:rPr>
          <w:b/>
        </w:rPr>
        <w:lastRenderedPageBreak/>
        <w:t>Merkblatt zur Verpflichtung auf das Datengeheimnis</w:t>
      </w:r>
    </w:p>
    <w:p w14:paraId="580C0F8A" w14:textId="77777777" w:rsidR="00CE7595" w:rsidRPr="00CE7595" w:rsidRDefault="00CE7595" w:rsidP="00CE7595">
      <w:pPr>
        <w:pStyle w:val="TWTextebene"/>
        <w:jc w:val="center"/>
        <w:rPr>
          <w:b/>
        </w:rPr>
      </w:pPr>
    </w:p>
    <w:p w14:paraId="61BD083B" w14:textId="77777777" w:rsidR="0096287B" w:rsidRDefault="0096287B" w:rsidP="0096287B">
      <w:pPr>
        <w:pStyle w:val="TWTextebene"/>
      </w:pPr>
      <w:r>
        <w:t>Das BDSG gilt für den Umgang mit personenbezogenen Daten bei nicht-öffentlichen Stellen immer dann,</w:t>
      </w:r>
      <w:r w:rsidR="00CE7595">
        <w:t xml:space="preserve"> </w:t>
      </w:r>
      <w:r>
        <w:t>wenn die Daten unter Einsatz von Datenverarbeitungsanlagen oder nicht automatisierten Dateien (Karteien,</w:t>
      </w:r>
      <w:r w:rsidR="00CE7595">
        <w:t xml:space="preserve"> </w:t>
      </w:r>
      <w:r>
        <w:t>Sammlungen gleicher Formulare) verarbeitet, genutzt oder dafür erhoben werden, es sei denn, die Erhebung,</w:t>
      </w:r>
      <w:r w:rsidR="00CE7595">
        <w:t xml:space="preserve"> </w:t>
      </w:r>
      <w:r>
        <w:t>Verarbeitung oder Nutzung der Daten erfolgt ausschließlich für persönliche oder familiäre Tätigkeiten.</w:t>
      </w:r>
      <w:r w:rsidR="00CE7595">
        <w:t xml:space="preserve"> </w:t>
      </w:r>
      <w:r>
        <w:t>Diese Einschränkung auf Datenverarbeitungsanlagen und nicht automatisierte Dateien gilt jedoch nicht</w:t>
      </w:r>
      <w:r w:rsidR="00CE7595">
        <w:t xml:space="preserve"> </w:t>
      </w:r>
      <w:r>
        <w:t>für personenbezogene Daten zu Beschäftigungsverhältnissen; dort gilt das BDSG auch für sonstige Unterlagen,</w:t>
      </w:r>
      <w:r w:rsidR="00CE7595">
        <w:t xml:space="preserve"> </w:t>
      </w:r>
      <w:r>
        <w:t>wie Personalakten oder Bewerbungsunterlagen in Papierform.</w:t>
      </w:r>
    </w:p>
    <w:p w14:paraId="2BF1BD3D" w14:textId="77777777" w:rsidR="0096287B" w:rsidRDefault="0096287B" w:rsidP="0096287B">
      <w:pPr>
        <w:pStyle w:val="TWTextebene"/>
      </w:pPr>
      <w:r>
        <w:t>Im Anwendungsbereich des BDSG richtet sich die Zulässigkeit der Erhebung, Verarbeitung und Nutzung von</w:t>
      </w:r>
      <w:r w:rsidR="00CE7595">
        <w:t xml:space="preserve"> </w:t>
      </w:r>
      <w:r>
        <w:t>personenbezogenen Daten nach der zentralen Vorschrift in § 4 Abs. 1 BDSG, die wie folgt lautet:</w:t>
      </w:r>
    </w:p>
    <w:p w14:paraId="73F5A606" w14:textId="77777777" w:rsidR="0096287B" w:rsidRPr="00034DD4" w:rsidRDefault="0096287B" w:rsidP="00CE7595">
      <w:pPr>
        <w:pStyle w:val="TWTextebene"/>
        <w:ind w:left="720"/>
        <w:rPr>
          <w:b/>
          <w:i/>
        </w:rPr>
      </w:pPr>
      <w:r w:rsidRPr="00034DD4">
        <w:rPr>
          <w:b/>
          <w:i/>
        </w:rPr>
        <w:t>"Die Erhebung, Verarbeitung und Nutzung personenbezogener Daten sind nur zulässig, soweit dieses</w:t>
      </w:r>
      <w:r w:rsidR="00CE7595" w:rsidRPr="00034DD4">
        <w:rPr>
          <w:b/>
          <w:i/>
        </w:rPr>
        <w:t xml:space="preserve"> </w:t>
      </w:r>
      <w:r w:rsidRPr="00034DD4">
        <w:rPr>
          <w:b/>
          <w:i/>
        </w:rPr>
        <w:t>Gesetz oder eine andere Rechtsvorschrift dies erlaubt oder anordnet oder der Betroffene eingewilligt</w:t>
      </w:r>
      <w:r w:rsidR="00CE7595" w:rsidRPr="00034DD4">
        <w:rPr>
          <w:b/>
          <w:i/>
        </w:rPr>
        <w:t xml:space="preserve"> </w:t>
      </w:r>
      <w:r w:rsidRPr="00034DD4">
        <w:rPr>
          <w:b/>
          <w:i/>
        </w:rPr>
        <w:t>hat."</w:t>
      </w:r>
    </w:p>
    <w:p w14:paraId="31EF1E5B" w14:textId="77777777" w:rsidR="0096287B" w:rsidRDefault="0096287B" w:rsidP="0096287B">
      <w:pPr>
        <w:pStyle w:val="TWTextebene"/>
      </w:pPr>
      <w:r>
        <w:t>Die darin verwendeten Begriffe sind in § 3 BDSG wie folgt definiert:</w:t>
      </w:r>
    </w:p>
    <w:p w14:paraId="3D6C4B5F" w14:textId="77777777" w:rsidR="00CE7595" w:rsidRDefault="00CE7595" w:rsidP="00CE7595">
      <w:pPr>
        <w:pStyle w:val="TWTextebene"/>
        <w:ind w:left="720" w:hanging="720"/>
      </w:pPr>
      <w:r>
        <w:t>1.</w:t>
      </w:r>
      <w:r>
        <w:tab/>
      </w:r>
      <w:r w:rsidR="0096287B">
        <w:t>Personenbezogene Daten sind Einzelangaben über persönliche oder sachliche Verhältnisse einer</w:t>
      </w:r>
      <w:r>
        <w:t xml:space="preserve"> </w:t>
      </w:r>
      <w:r w:rsidR="0096287B">
        <w:t>bestimmten oder bestimmbaren natürlichen Person (Betroffener).</w:t>
      </w:r>
    </w:p>
    <w:p w14:paraId="7E944BD5" w14:textId="77777777" w:rsidR="00CE7595" w:rsidRDefault="0096287B" w:rsidP="00CE7595">
      <w:pPr>
        <w:pStyle w:val="TWTextebene"/>
        <w:ind w:left="720" w:hanging="720"/>
      </w:pPr>
      <w:r>
        <w:t>2</w:t>
      </w:r>
      <w:r w:rsidR="00CE7595">
        <w:t>.</w:t>
      </w:r>
      <w:r>
        <w:t xml:space="preserve"> </w:t>
      </w:r>
      <w:r w:rsidR="00CE7595">
        <w:tab/>
      </w:r>
      <w:r>
        <w:t>Erheben ist das Beschaffen von Daten über den Betroffenen.</w:t>
      </w:r>
    </w:p>
    <w:p w14:paraId="1A2E1FCB" w14:textId="77777777" w:rsidR="00CE7595" w:rsidRDefault="0096287B" w:rsidP="00CE7595">
      <w:pPr>
        <w:pStyle w:val="TWTextebene"/>
        <w:ind w:left="720" w:hanging="720"/>
      </w:pPr>
      <w:r>
        <w:t>3</w:t>
      </w:r>
      <w:r w:rsidR="00CE7595">
        <w:t>.</w:t>
      </w:r>
      <w:r>
        <w:t xml:space="preserve"> </w:t>
      </w:r>
      <w:r w:rsidR="00CE7595">
        <w:tab/>
      </w:r>
      <w:r>
        <w:t>Verarbeiten ist das Speichern, Verändern, Übermitteln, Sperren und Löschen personenbezogener</w:t>
      </w:r>
      <w:r w:rsidR="00CE7595">
        <w:t xml:space="preserve"> </w:t>
      </w:r>
      <w:r>
        <w:t>Daten. Im Einzelnen ist, ungeachtet der dabei angewendeten Verfahren:</w:t>
      </w:r>
      <w:r w:rsidR="00CE7595">
        <w:t xml:space="preserve"> </w:t>
      </w:r>
    </w:p>
    <w:p w14:paraId="76867A7F" w14:textId="77777777" w:rsidR="00CE7595" w:rsidRDefault="00CE7595" w:rsidP="00CE7595">
      <w:pPr>
        <w:pStyle w:val="TWTextebene"/>
        <w:ind w:left="1440" w:hanging="720"/>
      </w:pPr>
      <w:r>
        <w:t>(</w:t>
      </w:r>
      <w:r w:rsidR="0096287B">
        <w:t>1</w:t>
      </w:r>
      <w:r>
        <w:t>)</w:t>
      </w:r>
      <w:r w:rsidR="0096287B">
        <w:t xml:space="preserve"> </w:t>
      </w:r>
      <w:r>
        <w:tab/>
      </w:r>
      <w:r w:rsidR="0096287B">
        <w:t>Speichern das Erfassen, Aufnehmen oder Aufbewahren personenbezogener Daten auf einem</w:t>
      </w:r>
      <w:r>
        <w:t xml:space="preserve"> </w:t>
      </w:r>
      <w:r w:rsidR="0096287B">
        <w:t>Datenträger zum Zwecke ihrer weiteren Verarbeitung oder Nutzung,</w:t>
      </w:r>
      <w:r>
        <w:t xml:space="preserve"> </w:t>
      </w:r>
    </w:p>
    <w:p w14:paraId="20164C7B" w14:textId="77777777" w:rsidR="0096287B" w:rsidRDefault="00CE7595" w:rsidP="00CE7595">
      <w:pPr>
        <w:pStyle w:val="TWTextebene"/>
        <w:ind w:left="720"/>
      </w:pPr>
      <w:r>
        <w:t>(</w:t>
      </w:r>
      <w:r w:rsidR="0096287B">
        <w:t>2</w:t>
      </w:r>
      <w:r>
        <w:t>)</w:t>
      </w:r>
      <w:r w:rsidR="0096287B">
        <w:t xml:space="preserve"> </w:t>
      </w:r>
      <w:r>
        <w:tab/>
      </w:r>
      <w:r w:rsidR="0096287B">
        <w:t>Verändern das inhaltliche Umgestalten gespeicherter personenbezogener Daten,</w:t>
      </w:r>
    </w:p>
    <w:p w14:paraId="1280C55B" w14:textId="77777777" w:rsidR="0096287B" w:rsidRDefault="00CE7595" w:rsidP="00CE7595">
      <w:pPr>
        <w:pStyle w:val="TWTextebene"/>
        <w:ind w:left="1440" w:hanging="720"/>
      </w:pPr>
      <w:r>
        <w:lastRenderedPageBreak/>
        <w:t>(</w:t>
      </w:r>
      <w:r w:rsidR="0096287B">
        <w:t>3</w:t>
      </w:r>
      <w:r>
        <w:t>)</w:t>
      </w:r>
      <w:r w:rsidR="0096287B">
        <w:t xml:space="preserve"> </w:t>
      </w:r>
      <w:r>
        <w:tab/>
      </w:r>
      <w:r w:rsidR="0096287B">
        <w:t>Übermitteln das Bekanntgeben gespeicherter oder dur</w:t>
      </w:r>
      <w:r>
        <w:t xml:space="preserve">ch Datenverarbeitung gewonnener </w:t>
      </w:r>
      <w:r w:rsidR="0096287B">
        <w:t>personenbezogener Daten an einen Dritten in der Weise, dass</w:t>
      </w:r>
    </w:p>
    <w:p w14:paraId="711FF026" w14:textId="77777777" w:rsidR="0096287B" w:rsidRDefault="0096287B" w:rsidP="00CE7595">
      <w:pPr>
        <w:pStyle w:val="TWTextebene"/>
        <w:ind w:left="720" w:firstLine="720"/>
      </w:pPr>
      <w:r>
        <w:t xml:space="preserve">a. </w:t>
      </w:r>
      <w:r w:rsidR="00CE7595">
        <w:tab/>
      </w:r>
      <w:r>
        <w:t>die Daten an den Dritten weitergegeben werden oder</w:t>
      </w:r>
    </w:p>
    <w:p w14:paraId="714CD591" w14:textId="77777777" w:rsidR="0096287B" w:rsidRDefault="0096287B" w:rsidP="00CE7595">
      <w:pPr>
        <w:pStyle w:val="TWTextebene"/>
        <w:ind w:left="2160" w:hanging="720"/>
      </w:pPr>
      <w:r>
        <w:t xml:space="preserve">b. </w:t>
      </w:r>
      <w:r w:rsidR="00CE7595">
        <w:tab/>
      </w:r>
      <w:r>
        <w:t>der Dritte zur Einsicht oder zum Abruf bereitgehaltene Daten einsieht oder abruft,</w:t>
      </w:r>
    </w:p>
    <w:p w14:paraId="2BAA0DF1" w14:textId="77777777" w:rsidR="0096287B" w:rsidRDefault="00CE7595" w:rsidP="00CE7595">
      <w:pPr>
        <w:pStyle w:val="TWTextebene"/>
        <w:ind w:left="1440" w:hanging="720"/>
      </w:pPr>
      <w:r>
        <w:t>(</w:t>
      </w:r>
      <w:r w:rsidR="0096287B">
        <w:t>4</w:t>
      </w:r>
      <w:r>
        <w:t>)</w:t>
      </w:r>
      <w:r w:rsidR="0096287B">
        <w:t xml:space="preserve"> </w:t>
      </w:r>
      <w:r>
        <w:tab/>
      </w:r>
      <w:r w:rsidR="0096287B">
        <w:t>Sperren das Kennzeichnen gespeicherter personenbezogener Daten, um ihre weitere Verarbeitung</w:t>
      </w:r>
      <w:r>
        <w:t xml:space="preserve"> </w:t>
      </w:r>
      <w:r w:rsidR="0096287B">
        <w:t>oder Nutzung einzuschränken,</w:t>
      </w:r>
    </w:p>
    <w:p w14:paraId="35E5B08A" w14:textId="77777777" w:rsidR="0096287B" w:rsidRDefault="00CE7595" w:rsidP="00CE7595">
      <w:pPr>
        <w:pStyle w:val="TWTextebene"/>
        <w:ind w:left="720"/>
      </w:pPr>
      <w:r>
        <w:t>(</w:t>
      </w:r>
      <w:r w:rsidR="0096287B">
        <w:t>5</w:t>
      </w:r>
      <w:r>
        <w:t>)</w:t>
      </w:r>
      <w:r w:rsidR="0096287B">
        <w:t xml:space="preserve"> </w:t>
      </w:r>
      <w:r>
        <w:tab/>
      </w:r>
      <w:r w:rsidR="0096287B">
        <w:t>Löschen das Unkenntlichmachen gespeicherter personenbezogener Daten.</w:t>
      </w:r>
    </w:p>
    <w:p w14:paraId="47B27DBE" w14:textId="77777777" w:rsidR="0096287B" w:rsidRDefault="0096287B" w:rsidP="00CE7595">
      <w:pPr>
        <w:pStyle w:val="TWTextebene"/>
        <w:ind w:left="720" w:hanging="720"/>
      </w:pPr>
      <w:r>
        <w:t>4</w:t>
      </w:r>
      <w:r w:rsidR="00CE7595">
        <w:t>.</w:t>
      </w:r>
      <w:r>
        <w:t xml:space="preserve"> </w:t>
      </w:r>
      <w:r w:rsidR="00CE7595">
        <w:tab/>
      </w:r>
      <w:r>
        <w:t>Nutzen ist jede Verwendung personenbezogener Daten, soweit es sich nicht um Verarbeitung handelt,</w:t>
      </w:r>
      <w:r w:rsidR="00CE7595">
        <w:t xml:space="preserve"> </w:t>
      </w:r>
      <w:r>
        <w:t xml:space="preserve">vom bloßen </w:t>
      </w:r>
      <w:proofErr w:type="spellStart"/>
      <w:r>
        <w:t>Einsichtnehmen</w:t>
      </w:r>
      <w:proofErr w:type="spellEnd"/>
      <w:r>
        <w:t xml:space="preserve"> durch Bedienstete der verantwortlichen Stelle bis zum Gebrauch</w:t>
      </w:r>
      <w:r w:rsidR="00CE7595">
        <w:t xml:space="preserve"> </w:t>
      </w:r>
      <w:r>
        <w:t>der Daten.</w:t>
      </w:r>
    </w:p>
    <w:p w14:paraId="258EB32C" w14:textId="77777777" w:rsidR="00CE7595" w:rsidRDefault="00CE7595" w:rsidP="0096287B">
      <w:pPr>
        <w:pStyle w:val="TWTextebene"/>
      </w:pPr>
      <w:r>
        <w:t xml:space="preserve">Als </w:t>
      </w:r>
      <w:r w:rsidRPr="00BD6F22">
        <w:rPr>
          <w:b/>
        </w:rPr>
        <w:t>Anlage</w:t>
      </w:r>
      <w:r>
        <w:t xml:space="preserve"> sind die §§ 5, 43, 44 BDSG beigefügt. </w:t>
      </w:r>
    </w:p>
    <w:p w14:paraId="6E7C6DF5" w14:textId="77777777" w:rsidR="0049477B" w:rsidRDefault="0049477B" w:rsidP="0096287B">
      <w:pPr>
        <w:pStyle w:val="TWTextebene"/>
      </w:pPr>
      <w:r>
        <w:t xml:space="preserve">Typische Beispiele der von der Verpflichtung </w:t>
      </w:r>
      <w:proofErr w:type="gramStart"/>
      <w:r>
        <w:t>auf das Datenschutz</w:t>
      </w:r>
      <w:proofErr w:type="gramEnd"/>
      <w:r>
        <w:t xml:space="preserve"> umfassten Vorgänge bei Ihrem Arbeitgeber sind insbesondere: </w:t>
      </w:r>
    </w:p>
    <w:p w14:paraId="36933B14" w14:textId="77777777" w:rsidR="00BD6F22" w:rsidRDefault="00162BA5" w:rsidP="00BD6F22">
      <w:pPr>
        <w:pStyle w:val="TWTextebene"/>
        <w:ind w:left="720" w:hanging="720"/>
      </w:pPr>
      <w:r>
        <w:t>1.</w:t>
      </w:r>
      <w:r>
        <w:tab/>
        <w:t>Name, Telefonnummer, Kontodaten, oder die Anschrift</w:t>
      </w:r>
      <w:r w:rsidR="00BD6F22">
        <w:t xml:space="preserve"> als Beispiele Personenbezogener Daten.</w:t>
      </w:r>
    </w:p>
    <w:p w14:paraId="494E3778" w14:textId="77777777" w:rsidR="00BD6F22" w:rsidRDefault="00162BA5" w:rsidP="00BD6F22">
      <w:pPr>
        <w:pStyle w:val="TWTextebene"/>
        <w:ind w:left="720" w:hanging="720"/>
      </w:pPr>
      <w:r>
        <w:t xml:space="preserve">2. </w:t>
      </w:r>
      <w:r>
        <w:tab/>
      </w:r>
      <w:r w:rsidRPr="00162BA5">
        <w:t>Beschaffen von Daten über den Betroffenen</w:t>
      </w:r>
      <w:r w:rsidR="00BD6F22">
        <w:t xml:space="preserve"> als Beispiel für das Erheben.</w:t>
      </w:r>
    </w:p>
    <w:p w14:paraId="58B2E231" w14:textId="77777777" w:rsidR="00BD6F22" w:rsidRDefault="00BD6F22" w:rsidP="00BD6F22">
      <w:pPr>
        <w:pStyle w:val="TWTextebene"/>
        <w:ind w:left="720" w:hanging="720"/>
      </w:pPr>
      <w:r>
        <w:t xml:space="preserve">3. </w:t>
      </w:r>
      <w:r>
        <w:tab/>
      </w:r>
      <w:r w:rsidR="00162BA5" w:rsidRPr="00162BA5">
        <w:t xml:space="preserve">Speichern, Verändern, Übermitteln, Sperren und Löschen personenbezogener </w:t>
      </w:r>
      <w:proofErr w:type="gramStart"/>
      <w:r w:rsidR="00162BA5" w:rsidRPr="00162BA5">
        <w:rPr>
          <w:i/>
          <w:iCs/>
        </w:rPr>
        <w:t>Daten</w:t>
      </w:r>
      <w:r w:rsidR="00162BA5">
        <w:t xml:space="preserve">  </w:t>
      </w:r>
      <w:r>
        <w:t>als</w:t>
      </w:r>
      <w:proofErr w:type="gramEnd"/>
      <w:r>
        <w:t xml:space="preserve"> Beispiel für das Verarbeiten.</w:t>
      </w:r>
    </w:p>
    <w:p w14:paraId="619C4558" w14:textId="77777777" w:rsidR="00BD6F22" w:rsidRDefault="00BD6F22" w:rsidP="00BD6F22">
      <w:pPr>
        <w:pStyle w:val="TWTextebene"/>
        <w:ind w:left="720" w:hanging="720"/>
      </w:pPr>
      <w:r>
        <w:t xml:space="preserve">4. </w:t>
      </w:r>
      <w:r>
        <w:tab/>
      </w:r>
      <w:r w:rsidR="00162BA5" w:rsidRPr="00162BA5">
        <w:t xml:space="preserve">jede Verwendung personenbezogener </w:t>
      </w:r>
      <w:r w:rsidR="00162BA5" w:rsidRPr="00162BA5">
        <w:rPr>
          <w:i/>
          <w:iCs/>
        </w:rPr>
        <w:t>Daten</w:t>
      </w:r>
      <w:r w:rsidR="00162BA5">
        <w:t xml:space="preserve"> </w:t>
      </w:r>
      <w:r>
        <w:t>als Beispiel fü</w:t>
      </w:r>
      <w:r w:rsidR="00B31CA6">
        <w:t>r das Nutzen</w:t>
      </w:r>
      <w:r>
        <w:t>.</w:t>
      </w:r>
    </w:p>
    <w:p w14:paraId="431D2F1D" w14:textId="77777777" w:rsidR="00BD6F22" w:rsidRDefault="00BD6F22" w:rsidP="00BD6F22">
      <w:pPr>
        <w:pStyle w:val="TWTextebene"/>
      </w:pPr>
      <w:r w:rsidRPr="00BD6F22">
        <w:t xml:space="preserve">Wir fühlen uns den Grundsätzen der </w:t>
      </w:r>
      <w:r w:rsidRPr="00034DD4">
        <w:rPr>
          <w:b/>
          <w:u w:val="single"/>
        </w:rPr>
        <w:t>Datenvermeidung und Datensparsamkeit</w:t>
      </w:r>
      <w:r w:rsidRPr="00BD6F22">
        <w:t xml:space="preserve"> (§ 3a BDSG) verpflichtet. Sofern nicht anders angeordnet, erheben, verarbeiten oder nutzen Sie bitte so wenig personenbezogene Daten wie möglich.</w:t>
      </w:r>
    </w:p>
    <w:p w14:paraId="51A545D3" w14:textId="77777777" w:rsidR="00BD6F22" w:rsidRDefault="00BD6F22" w:rsidP="0018055F">
      <w:pPr>
        <w:ind w:firstLine="1"/>
      </w:pPr>
      <w:r>
        <w:t xml:space="preserve">Bei Fragen oder Zweifelsfällen wenden Sie sich an Ihren jeweiligen Vorgesetzten oder an: </w:t>
      </w:r>
      <w:r w:rsidR="00940BB7" w:rsidRPr="00940BB7">
        <w:rPr>
          <w:rFonts w:ascii="ArialMT" w:hAnsi="ArialMT" w:cs="ArialMT"/>
        </w:rPr>
        <w:t>Christoph Jöckel, Uhlandstr. 1, 10623 Berlin, Tel.: 0175-2255511</w:t>
      </w:r>
      <w:r w:rsidR="00940BB7" w:rsidRPr="00D32FF2">
        <w:rPr>
          <w:rFonts w:ascii="ArialMT" w:hAnsi="ArialMT" w:cs="ArialMT"/>
        </w:rPr>
        <w:t>.</w:t>
      </w:r>
      <w:r w:rsidR="00940BB7">
        <w:t xml:space="preserve"> </w:t>
      </w:r>
    </w:p>
    <w:p w14:paraId="4C7484C5" w14:textId="77777777" w:rsidR="00940BB7" w:rsidRDefault="00940BB7" w:rsidP="0018055F">
      <w:pPr>
        <w:ind w:firstLine="1"/>
      </w:pPr>
    </w:p>
    <w:p w14:paraId="2D166098" w14:textId="77777777" w:rsidR="0018055F" w:rsidRDefault="0018055F" w:rsidP="0018055F">
      <w:pPr>
        <w:pStyle w:val="TWTextebene"/>
        <w:jc w:val="center"/>
        <w:rPr>
          <w:b/>
        </w:rPr>
      </w:pPr>
      <w:r>
        <w:rPr>
          <w:b/>
        </w:rPr>
        <w:t>Auszug aus dem Bundesdatenschutzgesetz</w:t>
      </w:r>
      <w:r w:rsidR="00034DD4">
        <w:rPr>
          <w:b/>
        </w:rPr>
        <w:t xml:space="preserve"> (BDSG)</w:t>
      </w:r>
    </w:p>
    <w:p w14:paraId="4E8477B1" w14:textId="77777777" w:rsidR="0018055F" w:rsidRPr="0018055F" w:rsidRDefault="0018055F" w:rsidP="0018055F">
      <w:pPr>
        <w:spacing w:after="120" w:line="240" w:lineRule="auto"/>
        <w:ind w:firstLine="1"/>
        <w:rPr>
          <w:b/>
        </w:rPr>
      </w:pPr>
      <w:r w:rsidRPr="0018055F">
        <w:rPr>
          <w:b/>
        </w:rPr>
        <w:t xml:space="preserve">§ 5 Datengeheimnis </w:t>
      </w:r>
    </w:p>
    <w:p w14:paraId="4AF09E49" w14:textId="77777777" w:rsidR="0018055F" w:rsidRDefault="0018055F" w:rsidP="0018055F">
      <w:pPr>
        <w:spacing w:after="120" w:line="240" w:lineRule="auto"/>
        <w:ind w:firstLine="1"/>
      </w:pPr>
      <w:r>
        <w:t>Den bei der Datenverarbeitung beschäftigten Personen ist untersagt, personenbezogene Daten unbefugt zu erheben, zu verarbeiten oder zu nutzen (Datengeheimnis). Diese Personen sind, soweit sie bei nicht-öffentlichen Stellen beschäftigt werden, bei der Aufnahme ihrer Tätigkeit auf das Datengeheimnis zu verpflichten. Das Datengeheimnis besteht auch nach Beendigung ihrer Tätigkeit fort.</w:t>
      </w:r>
    </w:p>
    <w:p w14:paraId="0BF54052" w14:textId="77777777" w:rsidR="0018055F" w:rsidRDefault="0018055F" w:rsidP="0018055F">
      <w:pPr>
        <w:spacing w:after="120" w:line="240" w:lineRule="auto"/>
        <w:ind w:firstLine="1"/>
      </w:pPr>
    </w:p>
    <w:p w14:paraId="5AB14F8C" w14:textId="77777777" w:rsidR="0018055F" w:rsidRPr="0018055F" w:rsidRDefault="0018055F" w:rsidP="0018055F">
      <w:pPr>
        <w:spacing w:after="120" w:line="240" w:lineRule="auto"/>
        <w:ind w:firstLine="1"/>
        <w:rPr>
          <w:b/>
        </w:rPr>
      </w:pPr>
      <w:r w:rsidRPr="0018055F">
        <w:rPr>
          <w:b/>
        </w:rPr>
        <w:t>§ 43 Bußgeldvorschriften</w:t>
      </w:r>
    </w:p>
    <w:p w14:paraId="5F458BD1" w14:textId="77777777" w:rsidR="0018055F" w:rsidRDefault="0018055F" w:rsidP="0018055F">
      <w:pPr>
        <w:spacing w:after="120" w:line="240" w:lineRule="auto"/>
        <w:ind w:firstLine="1"/>
      </w:pPr>
      <w:r>
        <w:t xml:space="preserve">(1) </w:t>
      </w:r>
      <w:r>
        <w:tab/>
        <w:t xml:space="preserve">Ordnungswidrig handelt, wer vorsätzlich oder fahrlässig </w:t>
      </w:r>
    </w:p>
    <w:p w14:paraId="0A11C897" w14:textId="77777777" w:rsidR="0018055F" w:rsidRDefault="0018055F" w:rsidP="0018055F">
      <w:pPr>
        <w:spacing w:after="120" w:line="240" w:lineRule="auto"/>
        <w:ind w:left="1440" w:hanging="720"/>
      </w:pPr>
      <w:r>
        <w:t>1.</w:t>
      </w:r>
      <w:r>
        <w:tab/>
        <w:t>entgegen § 4d Abs. 1, auch in Verbindung mit § 4e Satz 2, eine Meldung nicht, nicht richtig, nicht vollständig oder nicht rechtzeitig macht,</w:t>
      </w:r>
    </w:p>
    <w:p w14:paraId="6748FF67" w14:textId="77777777" w:rsidR="0018055F" w:rsidRDefault="0018055F" w:rsidP="0018055F">
      <w:pPr>
        <w:spacing w:after="120" w:line="240" w:lineRule="auto"/>
        <w:ind w:left="1440" w:hanging="720"/>
      </w:pPr>
      <w:r>
        <w:t>2.</w:t>
      </w:r>
      <w:r>
        <w:tab/>
        <w:t>entgegen § 4f Abs. 1 Satz 1 oder 2, jeweils auch in Verbindung mit Satz 3 und 6, einen Beauftragten für den Datenschutz nicht, nicht in der vorgeschriebenen Weise oder nicht rechtzeitig bestellt,</w:t>
      </w:r>
    </w:p>
    <w:p w14:paraId="767AF53F" w14:textId="77777777" w:rsidR="0018055F" w:rsidRDefault="0018055F" w:rsidP="0018055F">
      <w:pPr>
        <w:spacing w:after="120" w:line="240" w:lineRule="auto"/>
        <w:ind w:left="1440" w:hanging="720"/>
      </w:pPr>
      <w:r>
        <w:t>2a.</w:t>
      </w:r>
      <w:r>
        <w:tab/>
        <w:t>entgegen § 10 Absatz 4 Satz 3 nicht gewährleistet, dass die Datenübermittlung festgestellt und überprüft werden kann,</w:t>
      </w:r>
    </w:p>
    <w:p w14:paraId="661F6221" w14:textId="77777777" w:rsidR="0018055F" w:rsidRDefault="0018055F" w:rsidP="0018055F">
      <w:pPr>
        <w:spacing w:after="120" w:line="240" w:lineRule="auto"/>
        <w:ind w:left="1440" w:hanging="720"/>
      </w:pPr>
      <w:r>
        <w:t>2b.</w:t>
      </w:r>
      <w:r>
        <w:tab/>
        <w:t>entgegen § 11 Absatz 2 Satz 2 einen Auftrag nicht richtig, nicht vollständig oder nicht in der vorgeschriebenen Weise erteilt oder entgegen § 11 Absatz 2 Satz 4 sich nicht vor Beginn der Datenverarbeitung von der Einhaltung der beim Auftragnehmer getroffenen technischen und organisatorischen Maßnahmen überzeugt,</w:t>
      </w:r>
    </w:p>
    <w:p w14:paraId="5D0469B9" w14:textId="77777777" w:rsidR="0018055F" w:rsidRDefault="0018055F" w:rsidP="0018055F">
      <w:pPr>
        <w:spacing w:after="120" w:line="240" w:lineRule="auto"/>
        <w:ind w:left="1440" w:hanging="720"/>
      </w:pPr>
      <w:r>
        <w:t>3.</w:t>
      </w:r>
      <w:r>
        <w:tab/>
        <w:t>entgegen § 28 Abs. 4 Satz 2 den Betroffenen nicht, nicht richtig oder nicht rechtzeitig unterrichtet oder nicht sicherstellt, dass der Betroffene Kenntnis erhalten kann,</w:t>
      </w:r>
      <w:r>
        <w:tab/>
      </w:r>
    </w:p>
    <w:p w14:paraId="0D58C0F7" w14:textId="77777777" w:rsidR="0018055F" w:rsidRDefault="0018055F" w:rsidP="0018055F">
      <w:pPr>
        <w:spacing w:after="120" w:line="240" w:lineRule="auto"/>
        <w:ind w:left="1440" w:hanging="720"/>
      </w:pPr>
      <w:r>
        <w:t>3a.</w:t>
      </w:r>
      <w:r>
        <w:tab/>
        <w:t>entgegen § 28 Absatz 4 Satz 4 eine strengere Form verlangt,</w:t>
      </w:r>
    </w:p>
    <w:p w14:paraId="20EF86A5" w14:textId="77777777" w:rsidR="0018055F" w:rsidRDefault="0018055F" w:rsidP="0018055F">
      <w:pPr>
        <w:spacing w:after="120" w:line="240" w:lineRule="auto"/>
        <w:ind w:left="1440" w:hanging="720"/>
      </w:pPr>
      <w:r>
        <w:t>4.</w:t>
      </w:r>
      <w:r>
        <w:tab/>
        <w:t>entgegen § 28 Abs. 5 Satz 2 personenbezogene Daten übermittelt oder nutzt,</w:t>
      </w:r>
    </w:p>
    <w:p w14:paraId="200D2349" w14:textId="77777777" w:rsidR="0018055F" w:rsidRDefault="0018055F" w:rsidP="0018055F">
      <w:pPr>
        <w:spacing w:after="120" w:line="240" w:lineRule="auto"/>
        <w:ind w:left="1440" w:hanging="720"/>
      </w:pPr>
      <w:r>
        <w:t>4a.</w:t>
      </w:r>
      <w:r>
        <w:tab/>
        <w:t>entgegen § 28a Abs. 3 Satz 1 eine Mitteilung nicht, nicht richtig, nicht vollständig oder nicht rechtzeitig macht,</w:t>
      </w:r>
    </w:p>
    <w:p w14:paraId="330F7BF7" w14:textId="77777777" w:rsidR="0018055F" w:rsidRDefault="0018055F" w:rsidP="0018055F">
      <w:pPr>
        <w:spacing w:after="120" w:line="240" w:lineRule="auto"/>
        <w:ind w:left="1440" w:hanging="720"/>
      </w:pPr>
      <w:r>
        <w:t>5.</w:t>
      </w:r>
      <w:r>
        <w:tab/>
        <w:t>entgegen § 29 Abs. 2 Satz 3 oder 4 die dort bezeichneten Gründe oder die Art und Weise ihrer glaubhaften Darlegung nicht aufzeichnet,</w:t>
      </w:r>
    </w:p>
    <w:p w14:paraId="74138167" w14:textId="77777777" w:rsidR="0018055F" w:rsidRDefault="0018055F" w:rsidP="0018055F">
      <w:pPr>
        <w:spacing w:after="120" w:line="240" w:lineRule="auto"/>
        <w:ind w:left="1440" w:hanging="720"/>
      </w:pPr>
      <w:r>
        <w:t>6.</w:t>
      </w:r>
      <w:r>
        <w:tab/>
        <w:t>entgegen § 29 Abs. 3 Satz 1 personenbezogene Daten in elektronische oder gedruckte Adress-, Rufnummern-, Branchen- oder vergleichbare Verzeichnisse aufnimmt,</w:t>
      </w:r>
    </w:p>
    <w:p w14:paraId="2B5841FB" w14:textId="77777777" w:rsidR="0018055F" w:rsidRDefault="0018055F" w:rsidP="0018055F">
      <w:pPr>
        <w:spacing w:after="120" w:line="240" w:lineRule="auto"/>
        <w:ind w:left="1440" w:hanging="720"/>
      </w:pPr>
      <w:r>
        <w:t>7.</w:t>
      </w:r>
      <w:r>
        <w:tab/>
        <w:t>entgegen § 29 Abs. 3 Satz 2 die Übernahme von Kennzeichnungen nicht sicherstellt,</w:t>
      </w:r>
    </w:p>
    <w:p w14:paraId="73E813DF" w14:textId="77777777" w:rsidR="0018055F" w:rsidRDefault="0018055F" w:rsidP="0018055F">
      <w:pPr>
        <w:spacing w:after="120" w:line="240" w:lineRule="auto"/>
        <w:ind w:left="1440" w:hanging="720"/>
      </w:pPr>
      <w:r>
        <w:t>7a.</w:t>
      </w:r>
      <w:r>
        <w:tab/>
        <w:t>entgegen § 29 Abs. 6 ein Auskunftsverlangen nicht richtig behandelt,</w:t>
      </w:r>
    </w:p>
    <w:p w14:paraId="294F3C1D" w14:textId="77777777" w:rsidR="0018055F" w:rsidRDefault="0018055F" w:rsidP="0018055F">
      <w:pPr>
        <w:spacing w:after="120" w:line="240" w:lineRule="auto"/>
        <w:ind w:left="1440" w:hanging="720"/>
      </w:pPr>
      <w:r>
        <w:t>7b.</w:t>
      </w:r>
      <w:r>
        <w:tab/>
        <w:t>entgegen § 29 Abs. 7 Satz 1 einen Verbraucher nicht, nicht richtig, nicht vollständig oder nicht rechtzeitig unterrichtet,</w:t>
      </w:r>
    </w:p>
    <w:p w14:paraId="5FC1DFCD" w14:textId="77777777" w:rsidR="0018055F" w:rsidRDefault="0018055F" w:rsidP="0018055F">
      <w:pPr>
        <w:spacing w:after="120" w:line="240" w:lineRule="auto"/>
        <w:ind w:left="1440" w:hanging="720"/>
      </w:pPr>
      <w:r>
        <w:t>8.</w:t>
      </w:r>
      <w:r>
        <w:tab/>
        <w:t>entgegen § 33 Abs. 1 den Betroffenen nicht, nicht richtig oder nicht vollständig benachrichtigt,</w:t>
      </w:r>
    </w:p>
    <w:p w14:paraId="2BB3AF50" w14:textId="77777777" w:rsidR="0018055F" w:rsidRDefault="0018055F" w:rsidP="0018055F">
      <w:pPr>
        <w:spacing w:after="120" w:line="240" w:lineRule="auto"/>
        <w:ind w:left="1440" w:hanging="720"/>
      </w:pPr>
      <w:r>
        <w:t>8a.</w:t>
      </w:r>
      <w:r>
        <w:tab/>
        <w:t xml:space="preserve">entgegen § 34 Absatz 1 Satz 1, auch in Verbindung mit Satz 3, entgegen § 34 Absatz 1a, entgegen § 34 Absatz 2 Satz 1, auch in Verbindung mit Satz 2, oder entgegen § </w:t>
      </w:r>
      <w:r>
        <w:lastRenderedPageBreak/>
        <w:t>34 Absatz 2 Satz 5, Absatz 3 Satz 1 oder Satz 2 oder Absatz 4 Satz 1, auch in Verbindung mit Satz 2, eine Auskunft nicht, nicht richtig, nicht vollständig oder nicht rechtzeitig erteilt oder entgegen § 34 Absatz 1a Daten nicht speichert,</w:t>
      </w:r>
    </w:p>
    <w:p w14:paraId="275962DC" w14:textId="77777777" w:rsidR="0018055F" w:rsidRDefault="0018055F" w:rsidP="0018055F">
      <w:pPr>
        <w:spacing w:after="120" w:line="240" w:lineRule="auto"/>
        <w:ind w:left="1440" w:hanging="720"/>
      </w:pPr>
      <w:r>
        <w:t>8b.</w:t>
      </w:r>
      <w:r>
        <w:tab/>
        <w:t>entgegen § 34 Abs. 2 Satz 3 Angaben nicht, nicht richtig, nicht vollständig oder nicht rechtzeitig übermittelt,</w:t>
      </w:r>
    </w:p>
    <w:p w14:paraId="2B3260BF" w14:textId="77777777" w:rsidR="0018055F" w:rsidRDefault="0018055F" w:rsidP="0018055F">
      <w:pPr>
        <w:spacing w:after="120" w:line="240" w:lineRule="auto"/>
        <w:ind w:left="1440" w:hanging="720"/>
      </w:pPr>
      <w:r>
        <w:t>8c.</w:t>
      </w:r>
      <w:r>
        <w:tab/>
        <w:t>entgegen § 34 Abs. 2 Satz 4 den Betroffenen nicht oder nicht rechtzeitig an die andere Stelle verweist,</w:t>
      </w:r>
    </w:p>
    <w:p w14:paraId="46B65C86" w14:textId="77777777" w:rsidR="0018055F" w:rsidRDefault="0018055F" w:rsidP="0018055F">
      <w:pPr>
        <w:spacing w:after="120" w:line="240" w:lineRule="auto"/>
        <w:ind w:left="1440" w:hanging="720"/>
      </w:pPr>
      <w:r>
        <w:t>9.</w:t>
      </w:r>
      <w:r>
        <w:tab/>
        <w:t>entgegen § 35 Abs. 6 Satz 3 Daten ohne Gegendarstellung übermittelt,</w:t>
      </w:r>
    </w:p>
    <w:p w14:paraId="5D08520D" w14:textId="77777777" w:rsidR="0018055F" w:rsidRDefault="0018055F" w:rsidP="0018055F">
      <w:pPr>
        <w:spacing w:after="120" w:line="240" w:lineRule="auto"/>
        <w:ind w:left="1440" w:hanging="720"/>
      </w:pPr>
      <w:r>
        <w:t>10.</w:t>
      </w:r>
      <w:r>
        <w:tab/>
        <w:t>entgegen § 38 Abs. 3 Satz 1 oder Abs. 4 Satz 1 eine Auskunft nicht, nicht richtig, nicht vollständig oder nicht rechtzeitig erteilt oder eine Maßnahme nicht duldet oder</w:t>
      </w:r>
    </w:p>
    <w:p w14:paraId="2340A09B" w14:textId="77777777" w:rsidR="0018055F" w:rsidRDefault="0018055F" w:rsidP="0018055F">
      <w:pPr>
        <w:spacing w:after="120" w:line="240" w:lineRule="auto"/>
        <w:ind w:left="1440" w:hanging="720"/>
      </w:pPr>
      <w:r>
        <w:t>11.</w:t>
      </w:r>
      <w:r>
        <w:tab/>
        <w:t>einer vollziehbaren Anordnung nach § 38 Abs. 5 Satz 1 zuwiderhandelt.</w:t>
      </w:r>
    </w:p>
    <w:p w14:paraId="015E12A9" w14:textId="77777777" w:rsidR="0018055F" w:rsidRDefault="0018055F" w:rsidP="0018055F">
      <w:pPr>
        <w:spacing w:after="120" w:line="240" w:lineRule="auto"/>
      </w:pPr>
      <w:r>
        <w:t xml:space="preserve">(2) </w:t>
      </w:r>
      <w:r>
        <w:tab/>
        <w:t xml:space="preserve">Ordnungswidrig handelt, wer vorsätzlich oder fahrlässig </w:t>
      </w:r>
    </w:p>
    <w:p w14:paraId="10FE814A" w14:textId="77777777" w:rsidR="0018055F" w:rsidRDefault="0018055F" w:rsidP="0018055F">
      <w:pPr>
        <w:spacing w:after="120" w:line="240" w:lineRule="auto"/>
        <w:ind w:left="1440" w:hanging="720"/>
      </w:pPr>
      <w:r>
        <w:t>1.</w:t>
      </w:r>
      <w:r>
        <w:tab/>
        <w:t>unbefugt personenbezogene Daten, die nicht allgemein zugänglich sind, erhebt oder verarbeitet,</w:t>
      </w:r>
    </w:p>
    <w:p w14:paraId="0EB2A796" w14:textId="77777777" w:rsidR="0018055F" w:rsidRDefault="0018055F" w:rsidP="0018055F">
      <w:pPr>
        <w:spacing w:after="120" w:line="240" w:lineRule="auto"/>
        <w:ind w:left="1440" w:hanging="720"/>
      </w:pPr>
      <w:r>
        <w:t>2.</w:t>
      </w:r>
      <w:r>
        <w:tab/>
        <w:t>unbefugt personenbezogene Daten, die nicht allgemein zugänglich sind, zum Abruf mittels automatisierten Verfahrens bereithält,</w:t>
      </w:r>
    </w:p>
    <w:p w14:paraId="76D3F134" w14:textId="77777777" w:rsidR="0018055F" w:rsidRDefault="0018055F" w:rsidP="0018055F">
      <w:pPr>
        <w:spacing w:after="120" w:line="240" w:lineRule="auto"/>
        <w:ind w:left="1440" w:hanging="720"/>
      </w:pPr>
      <w:r>
        <w:t>3.</w:t>
      </w:r>
      <w:r>
        <w:tab/>
        <w:t>unbefugt personenbezogene Daten, die nicht allgemein zugänglich sind, abruft oder sich oder einem anderen aus automatisierten Verarbeitungen oder nicht automatisierten Dateien verschafft,</w:t>
      </w:r>
    </w:p>
    <w:p w14:paraId="3BD959EE" w14:textId="77777777" w:rsidR="0018055F" w:rsidRDefault="0018055F" w:rsidP="0018055F">
      <w:pPr>
        <w:spacing w:after="120" w:line="240" w:lineRule="auto"/>
        <w:ind w:left="1440" w:hanging="720"/>
      </w:pPr>
      <w:r>
        <w:t>4.</w:t>
      </w:r>
      <w:r>
        <w:tab/>
        <w:t>die Übermittlung von personenbezogenen Daten, die nicht allgemein zugänglich sind, durch unrichtige Angaben erschleicht,</w:t>
      </w:r>
    </w:p>
    <w:p w14:paraId="1C5BCF43" w14:textId="77777777" w:rsidR="0018055F" w:rsidRDefault="0018055F" w:rsidP="0018055F">
      <w:pPr>
        <w:spacing w:after="120" w:line="240" w:lineRule="auto"/>
        <w:ind w:left="1440" w:hanging="720"/>
      </w:pPr>
      <w:r>
        <w:t>5.</w:t>
      </w:r>
      <w:r>
        <w:tab/>
        <w:t>entgegen § 16 Abs. 4 Satz 1, § 28 Abs. 5 Satz 1, auch in Verbindung mit § 29 Abs. 4, § 39 Abs. 1 Satz 1 oder § 40 Abs. 1, die übermittelten Daten für andere Zwecke nutzt,</w:t>
      </w:r>
    </w:p>
    <w:p w14:paraId="092B01FA" w14:textId="77777777" w:rsidR="0018055F" w:rsidRDefault="0018055F" w:rsidP="0018055F">
      <w:pPr>
        <w:spacing w:after="120" w:line="240" w:lineRule="auto"/>
        <w:ind w:left="1440" w:hanging="720"/>
      </w:pPr>
      <w:r>
        <w:t>5a.</w:t>
      </w:r>
      <w:r>
        <w:tab/>
        <w:t>entgegen § 28 Absatz 3b den Abschluss eines Vertrages von der Einwilligung des Betroffenen abhängig macht,</w:t>
      </w:r>
    </w:p>
    <w:p w14:paraId="51F795FB" w14:textId="77777777" w:rsidR="0018055F" w:rsidRDefault="0018055F" w:rsidP="0018055F">
      <w:pPr>
        <w:spacing w:after="120" w:line="240" w:lineRule="auto"/>
        <w:ind w:left="1440" w:hanging="720"/>
      </w:pPr>
      <w:r>
        <w:t>5b.</w:t>
      </w:r>
      <w:r>
        <w:tab/>
        <w:t>entgegen § 28 Absatz 4 Satz 1 Daten für Zwecke der Werbung oder der Markt- oder Meinungsforschung verarbeitet oder nutzt,</w:t>
      </w:r>
    </w:p>
    <w:p w14:paraId="2241A6EF" w14:textId="77777777" w:rsidR="0018055F" w:rsidRDefault="0018055F" w:rsidP="0018055F">
      <w:pPr>
        <w:spacing w:after="120" w:line="240" w:lineRule="auto"/>
        <w:ind w:left="1440" w:hanging="720"/>
      </w:pPr>
      <w:r>
        <w:t>6.</w:t>
      </w:r>
      <w:r>
        <w:tab/>
        <w:t>entgegen § 30 Absatz 1 Satz 2, § 30a Absatz 3 Satz 3 oder § 40 Absatz 2 Satz 3 ein dort genanntes Merkmal mit einer Einzelangabe zusammenführt oder</w:t>
      </w:r>
    </w:p>
    <w:p w14:paraId="4BADF61E" w14:textId="77777777" w:rsidR="0018055F" w:rsidRDefault="0018055F" w:rsidP="0018055F">
      <w:pPr>
        <w:spacing w:after="120" w:line="240" w:lineRule="auto"/>
        <w:ind w:left="1440" w:hanging="720"/>
      </w:pPr>
      <w:r>
        <w:t>7.</w:t>
      </w:r>
      <w:r>
        <w:tab/>
        <w:t>entgegen § 42a Satz 1 eine Mitteilung nicht, nicht richtig, nicht vollständig oder nicht rechtzeitig macht.</w:t>
      </w:r>
    </w:p>
    <w:p w14:paraId="6BC7A7D3" w14:textId="77777777" w:rsidR="0018055F" w:rsidRDefault="0018055F" w:rsidP="0018055F">
      <w:pPr>
        <w:spacing w:after="120" w:line="240" w:lineRule="auto"/>
        <w:ind w:left="720" w:hanging="719"/>
      </w:pPr>
      <w:r>
        <w:t xml:space="preserve">(3) </w:t>
      </w:r>
      <w:r>
        <w:tab/>
        <w:t>Die Ordnungswidrigkeit kann im Falle des Absatzes 1 mit einer Geldbuße bis zu fünfzigtausend Euro, in den Fällen des Absatzes 2 mit einer Geldbuße bis zu dreihunderttausend Euro geahndet werden. Die Geldbuße soll den wirtschaftlichen Vorteil, den der Täter aus der Ordnungswidrigkeit gezogen hat, übersteigen. Reichen die in Satz 1 genannten Beträge hierfür nicht aus, so können sie überschritten werden.</w:t>
      </w:r>
    </w:p>
    <w:p w14:paraId="657E3C11" w14:textId="77777777" w:rsidR="0018055F" w:rsidRDefault="0018055F" w:rsidP="0018055F">
      <w:pPr>
        <w:spacing w:after="120" w:line="240" w:lineRule="auto"/>
      </w:pPr>
    </w:p>
    <w:p w14:paraId="36D3401A" w14:textId="77777777" w:rsidR="0018055F" w:rsidRPr="0018055F" w:rsidRDefault="0018055F" w:rsidP="0018055F">
      <w:pPr>
        <w:spacing w:after="120" w:line="240" w:lineRule="auto"/>
        <w:rPr>
          <w:b/>
        </w:rPr>
      </w:pPr>
      <w:r w:rsidRPr="0018055F">
        <w:rPr>
          <w:b/>
        </w:rPr>
        <w:t>§ 44 Strafvorschriften</w:t>
      </w:r>
    </w:p>
    <w:p w14:paraId="614EFCCF" w14:textId="77777777" w:rsidR="0018055F" w:rsidRDefault="0018055F" w:rsidP="0018055F">
      <w:pPr>
        <w:spacing w:after="120" w:line="240" w:lineRule="auto"/>
        <w:ind w:left="720" w:hanging="720"/>
      </w:pPr>
      <w:r>
        <w:t xml:space="preserve">(1) </w:t>
      </w:r>
      <w:r>
        <w:tab/>
        <w:t xml:space="preserve">Wer eine in § 43 Abs. 2 bezeichnete vorsätzliche Handlung gegen Entgelt oder in der Absicht, sich oder einen anderen zu bereichern oder einen anderen zu schädigen, begeht, wird mit Freiheitsstrafe bis zu zwei Jahren oder mit Geldstrafe bestraft. </w:t>
      </w:r>
    </w:p>
    <w:p w14:paraId="2E458976" w14:textId="77777777" w:rsidR="0018055F" w:rsidRPr="00F85113" w:rsidRDefault="0018055F" w:rsidP="0018055F">
      <w:pPr>
        <w:spacing w:after="120" w:line="240" w:lineRule="auto"/>
        <w:ind w:left="720" w:hanging="720"/>
      </w:pPr>
      <w:r>
        <w:t xml:space="preserve">(2) </w:t>
      </w:r>
      <w:r>
        <w:tab/>
        <w:t>Die Tat wird nur auf Antrag verfolgt. Antragsberechtigt sind der Betroffene, die verantwortliche Stelle, die oder der Bundesbeauftragte für den Datenschutz und die Informationsfreiheit und die Aufsichtsbehörde.</w:t>
      </w:r>
    </w:p>
    <w:sectPr w:rsidR="0018055F" w:rsidRPr="00F85113" w:rsidSect="003E10A8">
      <w:headerReference w:type="even" r:id="rId7"/>
      <w:headerReference w:type="default" r:id="rId8"/>
      <w:footerReference w:type="even" r:id="rId9"/>
      <w:footerReference w:type="default" r:id="rId10"/>
      <w:headerReference w:type="first" r:id="rId11"/>
      <w:footerReference w:type="first" r:id="rId12"/>
      <w:pgSz w:w="11906" w:h="16838"/>
      <w:pgMar w:top="1474" w:right="1276" w:bottom="1984"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178E" w14:textId="77777777" w:rsidR="001045F1" w:rsidRDefault="001045F1" w:rsidP="0018055F">
      <w:pPr>
        <w:spacing w:after="0" w:line="240" w:lineRule="auto"/>
      </w:pPr>
      <w:r>
        <w:separator/>
      </w:r>
    </w:p>
  </w:endnote>
  <w:endnote w:type="continuationSeparator" w:id="0">
    <w:p w14:paraId="0F1CFC62" w14:textId="77777777" w:rsidR="001045F1" w:rsidRDefault="001045F1" w:rsidP="0018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B846" w14:textId="77777777" w:rsidR="0018055F" w:rsidRDefault="001805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CF0C" w14:textId="77777777" w:rsidR="0018055F" w:rsidRDefault="001805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5F67" w14:textId="502A8FCE" w:rsidR="0018055F" w:rsidRPr="003147B1" w:rsidRDefault="003147B1">
    <w:pPr>
      <w:pStyle w:val="Fuzeile"/>
      <w:rPr>
        <w:sz w:val="16"/>
        <w:szCs w:val="16"/>
      </w:rPr>
    </w:pPr>
    <w:proofErr w:type="gramStart"/>
    <w:r w:rsidRPr="003147B1">
      <w:rPr>
        <w:sz w:val="16"/>
        <w:szCs w:val="16"/>
      </w:rPr>
      <w:t>Datei:F</w:t>
    </w:r>
    <w:proofErr w:type="gramEnd"/>
    <w:r w:rsidRPr="003147B1">
      <w:rPr>
        <w:sz w:val="16"/>
        <w:szCs w:val="16"/>
      </w:rPr>
      <w:t>-6-2-23 Anlage 1 zum Arbeitsvertrag.docx</w:t>
    </w:r>
    <w:r>
      <w:rPr>
        <w:sz w:val="16"/>
        <w:szCs w:val="16"/>
      </w:rPr>
      <w:tab/>
    </w:r>
    <w:r>
      <w:rPr>
        <w:sz w:val="16"/>
        <w:szCs w:val="16"/>
      </w:rPr>
      <w:tab/>
    </w:r>
    <w:r>
      <w:rPr>
        <w:sz w:val="16"/>
        <w:szCs w:val="16"/>
      </w:rPr>
      <w:fldChar w:fldCharType="begin"/>
    </w:r>
    <w:r>
      <w:rPr>
        <w:sz w:val="16"/>
        <w:szCs w:val="16"/>
      </w:rPr>
      <w:instrText xml:space="preserve"> TIME \@ "dd.MM.yyyy" </w:instrText>
    </w:r>
    <w:r>
      <w:rPr>
        <w:sz w:val="16"/>
        <w:szCs w:val="16"/>
      </w:rPr>
      <w:fldChar w:fldCharType="separate"/>
    </w:r>
    <w:r>
      <w:rPr>
        <w:noProof/>
        <w:sz w:val="16"/>
        <w:szCs w:val="16"/>
      </w:rPr>
      <w:t>21.12.2021</w:t>
    </w:r>
    <w:r>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1552" w14:textId="77777777" w:rsidR="001045F1" w:rsidRDefault="001045F1" w:rsidP="0018055F">
      <w:pPr>
        <w:spacing w:after="0" w:line="240" w:lineRule="auto"/>
      </w:pPr>
      <w:r>
        <w:separator/>
      </w:r>
    </w:p>
  </w:footnote>
  <w:footnote w:type="continuationSeparator" w:id="0">
    <w:p w14:paraId="50BE6994" w14:textId="77777777" w:rsidR="001045F1" w:rsidRDefault="001045F1" w:rsidP="00180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D192" w14:textId="77777777" w:rsidR="0018055F" w:rsidRDefault="00180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E0AF" w14:textId="77777777" w:rsidR="0018055F" w:rsidRDefault="001805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D830" w14:textId="77777777" w:rsidR="0018055F" w:rsidRDefault="00180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789"/>
    <w:multiLevelType w:val="multilevel"/>
    <w:tmpl w:val="873690F0"/>
    <w:styleLink w:val="TWTabellerechts"/>
    <w:lvl w:ilvl="0">
      <w:start w:val="1"/>
      <w:numFmt w:val="decimal"/>
      <w:pStyle w:val="TWTabellebilingualr1"/>
      <w:lvlText w:val="%1."/>
      <w:lvlJc w:val="left"/>
      <w:pPr>
        <w:ind w:left="567" w:hanging="567"/>
      </w:pPr>
      <w:rPr>
        <w:rFonts w:ascii="Arial" w:hAnsi="Arial" w:hint="default"/>
        <w:b/>
        <w:i w:val="0"/>
        <w:sz w:val="21"/>
      </w:rPr>
    </w:lvl>
    <w:lvl w:ilvl="1">
      <w:start w:val="1"/>
      <w:numFmt w:val="decimal"/>
      <w:pStyle w:val="TWTabellebilingualr2"/>
      <w:lvlText w:val="%1.%2"/>
      <w:lvlJc w:val="left"/>
      <w:pPr>
        <w:ind w:left="567" w:hanging="567"/>
      </w:pPr>
      <w:rPr>
        <w:rFonts w:ascii="Arial" w:hAnsi="Arial" w:hint="default"/>
        <w:sz w:val="21"/>
      </w:rPr>
    </w:lvl>
    <w:lvl w:ilvl="2">
      <w:start w:val="1"/>
      <w:numFmt w:val="lowerLetter"/>
      <w:pStyle w:val="TWTabellebilingualr3"/>
      <w:lvlText w:val="(%3)"/>
      <w:lvlJc w:val="left"/>
      <w:pPr>
        <w:ind w:left="1134" w:hanging="567"/>
      </w:pPr>
      <w:rPr>
        <w:rFonts w:ascii="Arial" w:hAnsi="Arial" w:hint="default"/>
        <w:sz w:val="21"/>
      </w:rPr>
    </w:lvl>
    <w:lvl w:ilvl="3">
      <w:start w:val="1"/>
      <w:numFmt w:val="lowerRoman"/>
      <w:pStyle w:val="TWTabellebilingualr4"/>
      <w:lvlText w:val="(%4)"/>
      <w:lvlJc w:val="left"/>
      <w:pPr>
        <w:ind w:left="1134" w:hanging="567"/>
      </w:pPr>
      <w:rPr>
        <w:rFonts w:ascii="Arial" w:hAnsi="Arial" w:hint="default"/>
        <w:sz w:val="21"/>
      </w:rPr>
    </w:lvl>
    <w:lvl w:ilvl="4">
      <w:start w:val="1"/>
      <w:numFmt w:val="upperLetter"/>
      <w:pStyle w:val="TWTabellebilingualr5"/>
      <w:lvlText w:val="(%5)"/>
      <w:lvlJc w:val="left"/>
      <w:pPr>
        <w:ind w:left="1134" w:hanging="567"/>
      </w:pPr>
      <w:rPr>
        <w:rFonts w:ascii="Arial" w:hAnsi="Arial" w:hint="default"/>
        <w:sz w:val="21"/>
      </w:rPr>
    </w:lvl>
    <w:lvl w:ilvl="5">
      <w:start w:val="1"/>
      <w:numFmt w:val="upperRoman"/>
      <w:pStyle w:val="TWTabellebilingualr6"/>
      <w:lvlText w:val="(%6)"/>
      <w:lvlJc w:val="left"/>
      <w:pPr>
        <w:ind w:left="1134" w:hanging="567"/>
      </w:pPr>
      <w:rPr>
        <w:rFonts w:ascii="Arial" w:hAnsi="Arial" w:hint="default"/>
        <w:sz w:val="21"/>
      </w:rPr>
    </w:lvl>
    <w:lvl w:ilvl="6">
      <w:start w:val="1"/>
      <w:numFmt w:val="lowerLetter"/>
      <w:pStyle w:val="TWTabellebilingualr7"/>
      <w:lvlText w:val="%7."/>
      <w:lvlJc w:val="left"/>
      <w:pPr>
        <w:ind w:left="1134" w:hanging="567"/>
      </w:pPr>
      <w:rPr>
        <w:rFonts w:ascii="Arial" w:hAnsi="Arial" w:hint="default"/>
        <w:sz w:val="21"/>
      </w:rPr>
    </w:lvl>
    <w:lvl w:ilvl="7">
      <w:start w:val="1"/>
      <w:numFmt w:val="lowerRoman"/>
      <w:lvlText w:val="%8."/>
      <w:lvlJc w:val="left"/>
      <w:pPr>
        <w:ind w:left="1134" w:hanging="567"/>
      </w:pPr>
      <w:rPr>
        <w:rFonts w:hint="default"/>
      </w:rPr>
    </w:lvl>
    <w:lvl w:ilvl="8">
      <w:start w:val="1"/>
      <w:numFmt w:val="upperLetter"/>
      <w:lvlText w:val="%9."/>
      <w:lvlJc w:val="left"/>
      <w:pPr>
        <w:ind w:left="1134" w:hanging="567"/>
      </w:pPr>
      <w:rPr>
        <w:rFonts w:hint="default"/>
      </w:rPr>
    </w:lvl>
  </w:abstractNum>
  <w:abstractNum w:abstractNumId="1" w15:restartNumberingAfterBreak="0">
    <w:nsid w:val="03E057E2"/>
    <w:multiLevelType w:val="multilevel"/>
    <w:tmpl w:val="E5A22B74"/>
    <w:styleLink w:val="Formatvorlage1"/>
    <w:lvl w:ilvl="0">
      <w:start w:val="1"/>
      <w:numFmt w:val="decimal"/>
      <w:lvlText w:val="%1."/>
      <w:lvlJc w:val="left"/>
      <w:pPr>
        <w:ind w:left="720" w:hanging="720"/>
      </w:pPr>
      <w:rPr>
        <w:rFonts w:ascii="Arial" w:hAnsi="Arial" w:hint="default"/>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A306B9"/>
    <w:multiLevelType w:val="multilevel"/>
    <w:tmpl w:val="42AC1262"/>
    <w:numStyleLink w:val="TWNummerierung"/>
  </w:abstractNum>
  <w:abstractNum w:abstractNumId="3" w15:restartNumberingAfterBreak="0">
    <w:nsid w:val="1015241C"/>
    <w:multiLevelType w:val="multilevel"/>
    <w:tmpl w:val="C84E0BA8"/>
    <w:styleLink w:val="TWVertragParteienNummerierung"/>
    <w:lvl w:ilvl="0">
      <w:start w:val="1"/>
      <w:numFmt w:val="decimal"/>
      <w:pStyle w:val="TWVertragParteien"/>
      <w:lvlText w:val="%1."/>
      <w:lvlJc w:val="left"/>
      <w:pPr>
        <w:tabs>
          <w:tab w:val="num" w:pos="720"/>
        </w:tabs>
        <w:ind w:left="720" w:hanging="720"/>
      </w:pPr>
      <w:rPr>
        <w:rFonts w:ascii="Arial" w:hAnsi="Arial" w:hint="default"/>
        <w:b w:val="0"/>
        <w:i w:val="0"/>
        <w:sz w:val="21"/>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4" w15:restartNumberingAfterBreak="0">
    <w:nsid w:val="164B7DC7"/>
    <w:multiLevelType w:val="multilevel"/>
    <w:tmpl w:val="5A5AC3B4"/>
    <w:lvl w:ilvl="0">
      <w:start w:val="1"/>
      <w:numFmt w:val="upperRoman"/>
      <w:suff w:val="nothing"/>
      <w:lvlText w:val="%1."/>
      <w:lvlJc w:val="left"/>
      <w:pPr>
        <w:ind w:left="0" w:firstLine="181"/>
      </w:pPr>
      <w:rPr>
        <w:rFonts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0" w:firstLine="181"/>
      </w:pPr>
      <w:rPr>
        <w:rFonts w:hint="default"/>
        <w:b/>
        <w:bCs w:val="0"/>
        <w:i w:val="0"/>
        <w:iCs w:val="0"/>
        <w: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ind w:left="0" w:firstLine="181"/>
      </w:pPr>
      <w:rPr>
        <w:rFonts w:ascii="Arial" w:hAnsi="Arial" w:cs="Times New Roman" w:hint="default"/>
        <w:b w:val="0"/>
        <w:i w:val="0"/>
        <w:color w:val="auto"/>
        <w:sz w:val="21"/>
      </w:rPr>
    </w:lvl>
    <w:lvl w:ilvl="3">
      <w:start w:val="1"/>
      <w:numFmt w:val="lowerLetter"/>
      <w:lvlRestart w:val="0"/>
      <w:suff w:val="nothing"/>
      <w:lvlText w:val="(%4)"/>
      <w:lvlJc w:val="left"/>
      <w:pPr>
        <w:ind w:left="0" w:firstLine="181"/>
      </w:pPr>
      <w:rPr>
        <w:rFonts w:ascii="Arial" w:hAnsi="Arial" w:cs="Times New Roman" w:hint="default"/>
        <w:b w:val="0"/>
        <w:i w:val="0"/>
        <w:color w:val="auto"/>
        <w:sz w:val="21"/>
      </w:rPr>
    </w:lvl>
    <w:lvl w:ilvl="4">
      <w:start w:val="1"/>
      <w:numFmt w:val="none"/>
      <w:lvlText w:val=""/>
      <w:lvlJc w:val="left"/>
      <w:pPr>
        <w:tabs>
          <w:tab w:val="num" w:pos="1440"/>
        </w:tabs>
        <w:ind w:left="1440" w:hanging="720"/>
      </w:pPr>
      <w:rPr>
        <w:rFonts w:ascii="Arial" w:hAnsi="Arial" w:cs="Times New Roman" w:hint="default"/>
        <w:b w:val="0"/>
        <w:i w:val="0"/>
        <w:sz w:val="21"/>
      </w:rPr>
    </w:lvl>
    <w:lvl w:ilvl="5">
      <w:start w:val="1"/>
      <w:numFmt w:val="none"/>
      <w:lvlText w:val=""/>
      <w:lvlJc w:val="left"/>
      <w:pPr>
        <w:tabs>
          <w:tab w:val="num" w:pos="2160"/>
        </w:tabs>
        <w:ind w:left="2160" w:hanging="720"/>
      </w:pPr>
      <w:rPr>
        <w:rFonts w:cs="Times New Roman" w:hint="default"/>
      </w:rPr>
    </w:lvl>
    <w:lvl w:ilvl="6">
      <w:start w:val="1"/>
      <w:numFmt w:val="none"/>
      <w:lvlText w:val=""/>
      <w:lvlJc w:val="left"/>
      <w:pPr>
        <w:tabs>
          <w:tab w:val="num" w:pos="2880"/>
        </w:tabs>
        <w:ind w:left="2880" w:hanging="72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5" w15:restartNumberingAfterBreak="0">
    <w:nsid w:val="20644FB3"/>
    <w:multiLevelType w:val="multilevel"/>
    <w:tmpl w:val="42AC1262"/>
    <w:styleLink w:val="TWNummerierung"/>
    <w:lvl w:ilvl="0">
      <w:start w:val="1"/>
      <w:numFmt w:val="decimal"/>
      <w:pStyle w:val="TWNummerierung1"/>
      <w:lvlText w:val="%1."/>
      <w:lvlJc w:val="left"/>
      <w:pPr>
        <w:ind w:left="720" w:hanging="720"/>
      </w:pPr>
      <w:rPr>
        <w:rFonts w:ascii="Arial Fett" w:hAnsi="Arial Fett" w:hint="default"/>
        <w:b/>
        <w:i w:val="0"/>
        <w:sz w:val="21"/>
      </w:rPr>
    </w:lvl>
    <w:lvl w:ilvl="1">
      <w:start w:val="1"/>
      <w:numFmt w:val="decimal"/>
      <w:pStyle w:val="TWNummerierung2"/>
      <w:lvlText w:val="%1.%2"/>
      <w:lvlJc w:val="left"/>
      <w:pPr>
        <w:ind w:left="720" w:hanging="720"/>
      </w:pPr>
      <w:rPr>
        <w:rFonts w:ascii="Arial" w:hAnsi="Arial" w:hint="default"/>
        <w:b w:val="0"/>
        <w:i w:val="0"/>
        <w:sz w:val="21"/>
      </w:rPr>
    </w:lvl>
    <w:lvl w:ilvl="2">
      <w:start w:val="1"/>
      <w:numFmt w:val="lowerLetter"/>
      <w:pStyle w:val="TWNummerierung3"/>
      <w:lvlText w:val="(%3)"/>
      <w:lvlJc w:val="left"/>
      <w:pPr>
        <w:ind w:left="1440" w:hanging="720"/>
      </w:pPr>
      <w:rPr>
        <w:rFonts w:ascii="Arial" w:hAnsi="Arial" w:hint="default"/>
        <w:b w:val="0"/>
        <w:i w:val="0"/>
        <w:sz w:val="21"/>
      </w:rPr>
    </w:lvl>
    <w:lvl w:ilvl="3">
      <w:start w:val="1"/>
      <w:numFmt w:val="lowerRoman"/>
      <w:pStyle w:val="TWNummerierung4"/>
      <w:lvlText w:val="(%4)"/>
      <w:lvlJc w:val="left"/>
      <w:pPr>
        <w:ind w:left="2160" w:hanging="720"/>
      </w:pPr>
      <w:rPr>
        <w:rFonts w:ascii="Arial" w:hAnsi="Arial" w:hint="default"/>
        <w:b w:val="0"/>
        <w:i w:val="0"/>
        <w:sz w:val="21"/>
      </w:rPr>
    </w:lvl>
    <w:lvl w:ilvl="4">
      <w:start w:val="1"/>
      <w:numFmt w:val="upperLetter"/>
      <w:pStyle w:val="TWNummerierung5"/>
      <w:lvlText w:val="(%5)"/>
      <w:lvlJc w:val="left"/>
      <w:pPr>
        <w:ind w:left="2880" w:hanging="720"/>
      </w:pPr>
      <w:rPr>
        <w:rFonts w:ascii="Arial" w:hAnsi="Arial" w:hint="default"/>
        <w:b w:val="0"/>
        <w:i w:val="0"/>
        <w:sz w:val="21"/>
      </w:rPr>
    </w:lvl>
    <w:lvl w:ilvl="5">
      <w:start w:val="1"/>
      <w:numFmt w:val="upperRoman"/>
      <w:pStyle w:val="TWNummerierung6"/>
      <w:lvlText w:val="(%6)"/>
      <w:lvlJc w:val="left"/>
      <w:pPr>
        <w:ind w:left="3600" w:hanging="720"/>
      </w:pPr>
      <w:rPr>
        <w:rFonts w:ascii="Arial" w:hAnsi="Arial" w:hint="default"/>
        <w:b w:val="0"/>
        <w:i w:val="0"/>
        <w:sz w:val="21"/>
      </w:rPr>
    </w:lvl>
    <w:lvl w:ilvl="6">
      <w:start w:val="1"/>
      <w:numFmt w:val="lowerLetter"/>
      <w:pStyle w:val="TWNummerierung7"/>
      <w:lvlText w:val="%7."/>
      <w:lvlJc w:val="left"/>
      <w:pPr>
        <w:ind w:left="4320" w:hanging="720"/>
      </w:pPr>
      <w:rPr>
        <w:rFonts w:ascii="Arial" w:hAnsi="Arial" w:hint="default"/>
        <w:b w:val="0"/>
        <w:i w:val="0"/>
        <w:sz w:val="21"/>
      </w:rPr>
    </w:lvl>
    <w:lvl w:ilvl="7">
      <w:start w:val="1"/>
      <w:numFmt w:val="none"/>
      <w:lvlText w:val=""/>
      <w:lvlJc w:val="left"/>
      <w:pPr>
        <w:ind w:left="5040" w:hanging="720"/>
      </w:pPr>
      <w:rPr>
        <w:rFonts w:hint="default"/>
      </w:rPr>
    </w:lvl>
    <w:lvl w:ilvl="8">
      <w:start w:val="1"/>
      <w:numFmt w:val="none"/>
      <w:lvlText w:val=""/>
      <w:lvlJc w:val="left"/>
      <w:pPr>
        <w:ind w:left="5760" w:hanging="720"/>
      </w:pPr>
      <w:rPr>
        <w:rFonts w:hint="default"/>
      </w:rPr>
    </w:lvl>
  </w:abstractNum>
  <w:abstractNum w:abstractNumId="6" w15:restartNumberingAfterBreak="0">
    <w:nsid w:val="2A652E0A"/>
    <w:multiLevelType w:val="hybridMultilevel"/>
    <w:tmpl w:val="58C4BF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F3678B1"/>
    <w:multiLevelType w:val="multilevel"/>
    <w:tmpl w:val="19AACE6A"/>
    <w:numStyleLink w:val="TWVertragPrambel"/>
  </w:abstractNum>
  <w:abstractNum w:abstractNumId="8" w15:restartNumberingAfterBreak="0">
    <w:nsid w:val="4C2F696C"/>
    <w:multiLevelType w:val="multilevel"/>
    <w:tmpl w:val="BAF252EC"/>
    <w:styleLink w:val="TWTabellelinks"/>
    <w:lvl w:ilvl="0">
      <w:start w:val="1"/>
      <w:numFmt w:val="decimal"/>
      <w:pStyle w:val="TWTabellebilinguall1"/>
      <w:lvlText w:val="%1."/>
      <w:lvlJc w:val="left"/>
      <w:pPr>
        <w:ind w:left="567" w:hanging="567"/>
      </w:pPr>
      <w:rPr>
        <w:rFonts w:ascii="Arial" w:hAnsi="Arial" w:hint="default"/>
        <w:sz w:val="21"/>
      </w:rPr>
    </w:lvl>
    <w:lvl w:ilvl="1">
      <w:start w:val="1"/>
      <w:numFmt w:val="decimal"/>
      <w:pStyle w:val="TWTabellebilinguall2"/>
      <w:lvlText w:val="%1.%2"/>
      <w:lvlJc w:val="left"/>
      <w:pPr>
        <w:ind w:left="567" w:hanging="567"/>
      </w:pPr>
      <w:rPr>
        <w:rFonts w:ascii="Arial" w:hAnsi="Arial" w:hint="default"/>
        <w:sz w:val="21"/>
      </w:rPr>
    </w:lvl>
    <w:lvl w:ilvl="2">
      <w:start w:val="1"/>
      <w:numFmt w:val="lowerLetter"/>
      <w:pStyle w:val="TWTabellebilinguall3"/>
      <w:lvlText w:val="(%3)"/>
      <w:lvlJc w:val="left"/>
      <w:pPr>
        <w:ind w:left="1134" w:hanging="567"/>
      </w:pPr>
      <w:rPr>
        <w:rFonts w:ascii="Arial" w:hAnsi="Arial" w:hint="default"/>
        <w:sz w:val="21"/>
      </w:rPr>
    </w:lvl>
    <w:lvl w:ilvl="3">
      <w:start w:val="1"/>
      <w:numFmt w:val="lowerRoman"/>
      <w:pStyle w:val="TWTabellebilinguall4"/>
      <w:lvlText w:val="(%4)"/>
      <w:lvlJc w:val="left"/>
      <w:pPr>
        <w:ind w:left="1134" w:hanging="567"/>
      </w:pPr>
      <w:rPr>
        <w:rFonts w:ascii="Arial" w:hAnsi="Arial" w:hint="default"/>
        <w:sz w:val="21"/>
      </w:rPr>
    </w:lvl>
    <w:lvl w:ilvl="4">
      <w:start w:val="1"/>
      <w:numFmt w:val="upperLetter"/>
      <w:pStyle w:val="TWTabellebilinguall5"/>
      <w:lvlText w:val="(%5)"/>
      <w:lvlJc w:val="left"/>
      <w:pPr>
        <w:ind w:left="1134" w:hanging="567"/>
      </w:pPr>
      <w:rPr>
        <w:rFonts w:ascii="Arial" w:hAnsi="Arial" w:hint="default"/>
        <w:sz w:val="21"/>
      </w:rPr>
    </w:lvl>
    <w:lvl w:ilvl="5">
      <w:start w:val="1"/>
      <w:numFmt w:val="upperRoman"/>
      <w:pStyle w:val="TWTabellebilinguall6"/>
      <w:lvlText w:val="(%6)"/>
      <w:lvlJc w:val="left"/>
      <w:pPr>
        <w:ind w:left="1134" w:hanging="567"/>
      </w:pPr>
      <w:rPr>
        <w:rFonts w:ascii="Arial" w:hAnsi="Arial" w:hint="default"/>
        <w:sz w:val="21"/>
      </w:rPr>
    </w:lvl>
    <w:lvl w:ilvl="6">
      <w:start w:val="1"/>
      <w:numFmt w:val="lowerLetter"/>
      <w:pStyle w:val="TWTabellebilinguall7"/>
      <w:lvlText w:val="%7."/>
      <w:lvlJc w:val="left"/>
      <w:pPr>
        <w:ind w:left="1134" w:hanging="567"/>
      </w:pPr>
      <w:rPr>
        <w:rFonts w:ascii="Arial" w:hAnsi="Arial" w:hint="default"/>
        <w:sz w:val="21"/>
      </w:rPr>
    </w:lvl>
    <w:lvl w:ilvl="7">
      <w:start w:val="1"/>
      <w:numFmt w:val="lowerRoman"/>
      <w:lvlText w:val="%8."/>
      <w:lvlJc w:val="left"/>
      <w:pPr>
        <w:ind w:left="1134" w:hanging="567"/>
      </w:pPr>
      <w:rPr>
        <w:rFonts w:hint="default"/>
      </w:rPr>
    </w:lvl>
    <w:lvl w:ilvl="8">
      <w:start w:val="1"/>
      <w:numFmt w:val="upperLetter"/>
      <w:lvlText w:val="%9."/>
      <w:lvlJc w:val="left"/>
      <w:pPr>
        <w:ind w:left="1134" w:hanging="567"/>
      </w:pPr>
      <w:rPr>
        <w:rFonts w:hint="default"/>
      </w:rPr>
    </w:lvl>
  </w:abstractNum>
  <w:abstractNum w:abstractNumId="9" w15:restartNumberingAfterBreak="0">
    <w:nsid w:val="54AA3272"/>
    <w:multiLevelType w:val="multilevel"/>
    <w:tmpl w:val="EFF88B8A"/>
    <w:styleLink w:val="TWSchriftsatzAntragNummerierung"/>
    <w:lvl w:ilvl="0">
      <w:start w:val="1"/>
      <w:numFmt w:val="decimal"/>
      <w:pStyle w:val="TWSchriftsatzAntragnummeriert"/>
      <w:lvlText w:val="%1."/>
      <w:lvlJc w:val="left"/>
      <w:pPr>
        <w:tabs>
          <w:tab w:val="num" w:pos="1440"/>
        </w:tabs>
        <w:ind w:left="1440" w:hanging="720"/>
      </w:pPr>
      <w:rPr>
        <w:rFonts w:ascii="Arial" w:hAnsi="Arial" w:hint="default"/>
        <w:b/>
        <w:sz w:val="21"/>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1440"/>
        </w:tabs>
        <w:ind w:left="1440" w:hanging="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1440"/>
        </w:tabs>
        <w:ind w:left="144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10" w15:restartNumberingAfterBreak="0">
    <w:nsid w:val="590F61CD"/>
    <w:multiLevelType w:val="multilevel"/>
    <w:tmpl w:val="18CE0F56"/>
    <w:styleLink w:val="TWTabelleDD"/>
    <w:lvl w:ilvl="0">
      <w:start w:val="1"/>
      <w:numFmt w:val="upperRoman"/>
      <w:pStyle w:val="TWTabelleDD1"/>
      <w:suff w:val="nothing"/>
      <w:lvlText w:val="%1."/>
      <w:lvlJc w:val="left"/>
      <w:pPr>
        <w:ind w:left="0" w:firstLine="181"/>
      </w:pPr>
      <w:rPr>
        <w:rFonts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WTabelleDD2"/>
      <w:suff w:val="nothing"/>
      <w:lvlText w:val="%2."/>
      <w:lvlJc w:val="left"/>
      <w:pPr>
        <w:ind w:left="0" w:firstLine="181"/>
      </w:pPr>
      <w:rPr>
        <w:rFonts w:hint="default"/>
        <w:b/>
        <w:bCs w:val="0"/>
        <w:i w:val="0"/>
        <w:iCs w:val="0"/>
        <w: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WTabelleDD3"/>
      <w:suff w:val="nothing"/>
      <w:lvlText w:val="%2.%3"/>
      <w:lvlJc w:val="left"/>
      <w:pPr>
        <w:ind w:left="0" w:firstLine="181"/>
      </w:pPr>
      <w:rPr>
        <w:rFonts w:ascii="Arial" w:hAnsi="Arial" w:cs="Times New Roman" w:hint="default"/>
        <w:b w:val="0"/>
        <w:i w:val="0"/>
        <w:color w:val="auto"/>
        <w:sz w:val="21"/>
      </w:rPr>
    </w:lvl>
    <w:lvl w:ilvl="3">
      <w:start w:val="1"/>
      <w:numFmt w:val="lowerLetter"/>
      <w:lvlRestart w:val="0"/>
      <w:pStyle w:val="TWTabelleDD4"/>
      <w:suff w:val="nothing"/>
      <w:lvlText w:val="(%4)"/>
      <w:lvlJc w:val="left"/>
      <w:pPr>
        <w:ind w:left="0" w:firstLine="181"/>
      </w:pPr>
      <w:rPr>
        <w:rFonts w:ascii="Arial" w:hAnsi="Arial" w:cs="Times New Roman" w:hint="default"/>
        <w:b w:val="0"/>
        <w:i w:val="0"/>
        <w:color w:val="auto"/>
        <w:sz w:val="21"/>
      </w:rPr>
    </w:lvl>
    <w:lvl w:ilvl="4">
      <w:start w:val="1"/>
      <w:numFmt w:val="none"/>
      <w:lvlText w:val=""/>
      <w:lvlJc w:val="left"/>
      <w:pPr>
        <w:tabs>
          <w:tab w:val="num" w:pos="1440"/>
        </w:tabs>
        <w:ind w:left="1440" w:hanging="720"/>
      </w:pPr>
      <w:rPr>
        <w:rFonts w:ascii="Arial" w:hAnsi="Arial" w:cs="Times New Roman" w:hint="default"/>
        <w:b w:val="0"/>
        <w:i w:val="0"/>
        <w:sz w:val="21"/>
      </w:rPr>
    </w:lvl>
    <w:lvl w:ilvl="5">
      <w:start w:val="1"/>
      <w:numFmt w:val="none"/>
      <w:lvlText w:val=""/>
      <w:lvlJc w:val="left"/>
      <w:pPr>
        <w:tabs>
          <w:tab w:val="num" w:pos="2160"/>
        </w:tabs>
        <w:ind w:left="2160" w:hanging="720"/>
      </w:pPr>
      <w:rPr>
        <w:rFonts w:cs="Times New Roman" w:hint="default"/>
      </w:rPr>
    </w:lvl>
    <w:lvl w:ilvl="6">
      <w:start w:val="1"/>
      <w:numFmt w:val="none"/>
      <w:lvlText w:val=""/>
      <w:lvlJc w:val="left"/>
      <w:pPr>
        <w:tabs>
          <w:tab w:val="num" w:pos="2880"/>
        </w:tabs>
        <w:ind w:left="2880" w:hanging="72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15:restartNumberingAfterBreak="0">
    <w:nsid w:val="61153C1D"/>
    <w:multiLevelType w:val="multilevel"/>
    <w:tmpl w:val="19AACE6A"/>
    <w:styleLink w:val="TWVertragPrambel"/>
    <w:lvl w:ilvl="0">
      <w:start w:val="1"/>
      <w:numFmt w:val="upperLetter"/>
      <w:pStyle w:val="TWVertragPrambel1"/>
      <w:lvlText w:val="(%1)"/>
      <w:lvlJc w:val="left"/>
      <w:pPr>
        <w:ind w:left="720" w:hanging="720"/>
      </w:pPr>
      <w:rPr>
        <w:rFonts w:ascii="Arial" w:hAnsi="Arial" w:hint="default"/>
        <w:b w:val="0"/>
        <w:i w:val="0"/>
        <w:sz w:val="21"/>
      </w:rPr>
    </w:lvl>
    <w:lvl w:ilvl="1">
      <w:start w:val="1"/>
      <w:numFmt w:val="decimal"/>
      <w:pStyle w:val="TWVertragPrambel2"/>
      <w:lvlText w:val="(%2)"/>
      <w:lvlJc w:val="left"/>
      <w:pPr>
        <w:ind w:left="1440" w:hanging="720"/>
      </w:pPr>
      <w:rPr>
        <w:rFonts w:ascii="Arial" w:hAnsi="Arial" w:hint="default"/>
        <w:b w:val="0"/>
        <w:i w:val="0"/>
        <w:sz w:val="21"/>
      </w:rPr>
    </w:lvl>
    <w:lvl w:ilvl="2">
      <w:start w:val="1"/>
      <w:numFmt w:val="lowerLetter"/>
      <w:pStyle w:val="TWVertragPrambel3"/>
      <w:lvlText w:val="(%3)"/>
      <w:lvlJc w:val="left"/>
      <w:pPr>
        <w:ind w:left="2160" w:hanging="720"/>
      </w:pPr>
      <w:rPr>
        <w:rFonts w:ascii="Arial" w:hAnsi="Arial" w:hint="default"/>
        <w:b w:val="0"/>
        <w:i w:val="0"/>
        <w:sz w:val="21"/>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12" w15:restartNumberingAfterBreak="0">
    <w:nsid w:val="760F79E8"/>
    <w:multiLevelType w:val="multilevel"/>
    <w:tmpl w:val="EA6E3176"/>
    <w:styleLink w:val="TWSchriftsatz"/>
    <w:lvl w:ilvl="0">
      <w:start w:val="1"/>
      <w:numFmt w:val="upperLetter"/>
      <w:pStyle w:val="TWSchriftsatz1"/>
      <w:suff w:val="nothing"/>
      <w:lvlText w:val="%1."/>
      <w:lvlJc w:val="left"/>
      <w:pPr>
        <w:ind w:left="0" w:firstLine="0"/>
      </w:pPr>
      <w:rPr>
        <w:rFonts w:ascii="Arial" w:hAnsi="Arial" w:hint="default"/>
        <w:b/>
        <w:sz w:val="21"/>
      </w:rPr>
    </w:lvl>
    <w:lvl w:ilvl="1">
      <w:start w:val="1"/>
      <w:numFmt w:val="upperRoman"/>
      <w:pStyle w:val="TWSchriftsatz2"/>
      <w:lvlText w:val="%2."/>
      <w:lvlJc w:val="left"/>
      <w:pPr>
        <w:tabs>
          <w:tab w:val="num" w:pos="720"/>
        </w:tabs>
        <w:ind w:left="720" w:hanging="720"/>
      </w:pPr>
      <w:rPr>
        <w:rFonts w:ascii="Arial Fett" w:hAnsi="Arial Fett" w:hint="default"/>
        <w:b/>
        <w:i w:val="0"/>
        <w:sz w:val="21"/>
      </w:rPr>
    </w:lvl>
    <w:lvl w:ilvl="2">
      <w:start w:val="1"/>
      <w:numFmt w:val="decimal"/>
      <w:pStyle w:val="TWSchriftsatz3"/>
      <w:lvlText w:val="%3."/>
      <w:lvlJc w:val="left"/>
      <w:pPr>
        <w:tabs>
          <w:tab w:val="num" w:pos="720"/>
        </w:tabs>
        <w:ind w:left="720" w:hanging="720"/>
      </w:pPr>
      <w:rPr>
        <w:rFonts w:ascii="Arial" w:hAnsi="Arial" w:hint="default"/>
        <w:b w:val="0"/>
        <w:i w:val="0"/>
        <w:sz w:val="21"/>
      </w:rPr>
    </w:lvl>
    <w:lvl w:ilvl="3">
      <w:start w:val="1"/>
      <w:numFmt w:val="lowerLetter"/>
      <w:pStyle w:val="TWSchriftsatz4"/>
      <w:lvlText w:val="%4)"/>
      <w:lvlJc w:val="left"/>
      <w:pPr>
        <w:tabs>
          <w:tab w:val="num" w:pos="1440"/>
        </w:tabs>
        <w:ind w:left="1440" w:hanging="720"/>
      </w:pPr>
      <w:rPr>
        <w:rFonts w:ascii="Arial" w:hAnsi="Arial" w:hint="default"/>
        <w:b w:val="0"/>
        <w:i w:val="0"/>
        <w:sz w:val="21"/>
      </w:rPr>
    </w:lvl>
    <w:lvl w:ilvl="4">
      <w:start w:val="27"/>
      <w:numFmt w:val="lowerLetter"/>
      <w:pStyle w:val="TWSchriftsatz5"/>
      <w:lvlText w:val="%5)"/>
      <w:lvlJc w:val="left"/>
      <w:pPr>
        <w:tabs>
          <w:tab w:val="num" w:pos="2160"/>
        </w:tabs>
        <w:ind w:left="2160" w:hanging="720"/>
      </w:pPr>
      <w:rPr>
        <w:rFonts w:ascii="Arial" w:hAnsi="Arial" w:hint="default"/>
        <w:b w:val="0"/>
        <w:i w:val="0"/>
        <w:sz w:val="21"/>
      </w:rPr>
    </w:lvl>
    <w:lvl w:ilvl="5">
      <w:start w:val="1"/>
      <w:numFmt w:val="decimal"/>
      <w:pStyle w:val="TWSchriftsatz6"/>
      <w:lvlText w:val="(%6)"/>
      <w:lvlJc w:val="left"/>
      <w:pPr>
        <w:tabs>
          <w:tab w:val="num" w:pos="2880"/>
        </w:tabs>
        <w:ind w:left="2880" w:hanging="720"/>
      </w:pPr>
      <w:rPr>
        <w:rFonts w:ascii="Arial" w:hAnsi="Arial" w:hint="default"/>
        <w:b w:val="0"/>
        <w:i w:val="0"/>
        <w:sz w:val="21"/>
      </w:rPr>
    </w:lvl>
    <w:lvl w:ilvl="6">
      <w:start w:val="1"/>
      <w:numFmt w:val="lowerLetter"/>
      <w:pStyle w:val="TWSchriftsatz7"/>
      <w:lvlText w:val="(%7)"/>
      <w:lvlJc w:val="left"/>
      <w:pPr>
        <w:tabs>
          <w:tab w:val="num" w:pos="3600"/>
        </w:tabs>
        <w:ind w:left="3600" w:hanging="720"/>
      </w:pPr>
      <w:rPr>
        <w:rFonts w:ascii="Arial" w:hAnsi="Arial" w:hint="default"/>
        <w:b w:val="0"/>
        <w:i w:val="0"/>
        <w:sz w:val="21"/>
      </w:rPr>
    </w:lvl>
    <w:lvl w:ilvl="7">
      <w:start w:val="27"/>
      <w:numFmt w:val="lowerLetter"/>
      <w:pStyle w:val="TWSchriftsatz8"/>
      <w:lvlText w:val="(%8)"/>
      <w:lvlJc w:val="left"/>
      <w:pPr>
        <w:tabs>
          <w:tab w:val="num" w:pos="4321"/>
        </w:tabs>
        <w:ind w:left="4320" w:hanging="720"/>
      </w:pPr>
      <w:rPr>
        <w:rFonts w:ascii="Arial" w:hAnsi="Arial" w:hint="default"/>
        <w:b w:val="0"/>
        <w:i w:val="0"/>
        <w:sz w:val="21"/>
      </w:rPr>
    </w:lvl>
    <w:lvl w:ilvl="8">
      <w:start w:val="1"/>
      <w:numFmt w:val="none"/>
      <w:lvlText w:val=""/>
      <w:lvlJc w:val="left"/>
      <w:pPr>
        <w:ind w:left="5040" w:hanging="720"/>
      </w:pPr>
      <w:rPr>
        <w:rFonts w:hint="default"/>
      </w:rPr>
    </w:lvl>
  </w:abstractNum>
  <w:abstractNum w:abstractNumId="13" w15:restartNumberingAfterBreak="0">
    <w:nsid w:val="784A025C"/>
    <w:multiLevelType w:val="hybridMultilevel"/>
    <w:tmpl w:val="95E89336"/>
    <w:lvl w:ilvl="0" w:tplc="E482F638">
      <w:start w:val="1"/>
      <w:numFmt w:val="bullet"/>
      <w:pStyle w:val="TWTabelleDDBullets"/>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12"/>
  </w:num>
  <w:num w:numId="5">
    <w:abstractNumId w:val="12"/>
  </w:num>
  <w:num w:numId="6">
    <w:abstractNumId w:val="9"/>
  </w:num>
  <w:num w:numId="7">
    <w:abstractNumId w:val="4"/>
  </w:num>
  <w:num w:numId="8">
    <w:abstractNumId w:val="13"/>
  </w:num>
  <w:num w:numId="9">
    <w:abstractNumId w:val="8"/>
  </w:num>
  <w:num w:numId="10">
    <w:abstractNumId w:val="0"/>
  </w:num>
  <w:num w:numId="11">
    <w:abstractNumId w:val="3"/>
  </w:num>
  <w:num w:numId="12">
    <w:abstractNumId w:val="3"/>
  </w:num>
  <w:num w:numId="13">
    <w:abstractNumId w:val="11"/>
  </w:num>
  <w:num w:numId="14">
    <w:abstractNumId w:val="7"/>
  </w:num>
  <w:num w:numId="15">
    <w:abstractNumId w:val="10"/>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umber" w:val="22493099"/>
    <w:docVar w:name="DocNumberVersion" w:val="22493099v1"/>
  </w:docVars>
  <w:rsids>
    <w:rsidRoot w:val="0096287B"/>
    <w:rsid w:val="00034DD4"/>
    <w:rsid w:val="00055E82"/>
    <w:rsid w:val="00057574"/>
    <w:rsid w:val="000932BF"/>
    <w:rsid w:val="000B0DBF"/>
    <w:rsid w:val="001045F1"/>
    <w:rsid w:val="00162BA5"/>
    <w:rsid w:val="0018055F"/>
    <w:rsid w:val="00191276"/>
    <w:rsid w:val="001F47D4"/>
    <w:rsid w:val="00296DF9"/>
    <w:rsid w:val="0030344E"/>
    <w:rsid w:val="00311F5D"/>
    <w:rsid w:val="003147B1"/>
    <w:rsid w:val="00324CB1"/>
    <w:rsid w:val="00373D4A"/>
    <w:rsid w:val="00393D30"/>
    <w:rsid w:val="003E10A8"/>
    <w:rsid w:val="003E5E31"/>
    <w:rsid w:val="0041035B"/>
    <w:rsid w:val="0049477B"/>
    <w:rsid w:val="004A3E20"/>
    <w:rsid w:val="004A68CD"/>
    <w:rsid w:val="00501D25"/>
    <w:rsid w:val="00514A10"/>
    <w:rsid w:val="0057567A"/>
    <w:rsid w:val="005D4662"/>
    <w:rsid w:val="006060BB"/>
    <w:rsid w:val="006E79B5"/>
    <w:rsid w:val="006F0A39"/>
    <w:rsid w:val="007B52A6"/>
    <w:rsid w:val="00830D54"/>
    <w:rsid w:val="00834E3C"/>
    <w:rsid w:val="008616CF"/>
    <w:rsid w:val="008D4F95"/>
    <w:rsid w:val="009159EF"/>
    <w:rsid w:val="00940BB7"/>
    <w:rsid w:val="00953923"/>
    <w:rsid w:val="0096287B"/>
    <w:rsid w:val="009A3548"/>
    <w:rsid w:val="00A401A2"/>
    <w:rsid w:val="00B31CA6"/>
    <w:rsid w:val="00B324A8"/>
    <w:rsid w:val="00B93747"/>
    <w:rsid w:val="00BA01D5"/>
    <w:rsid w:val="00BD57C3"/>
    <w:rsid w:val="00BD6F22"/>
    <w:rsid w:val="00C00286"/>
    <w:rsid w:val="00C070F5"/>
    <w:rsid w:val="00C56E37"/>
    <w:rsid w:val="00C82E63"/>
    <w:rsid w:val="00CA0E6F"/>
    <w:rsid w:val="00CB5B31"/>
    <w:rsid w:val="00CC2E30"/>
    <w:rsid w:val="00CE6556"/>
    <w:rsid w:val="00CE7595"/>
    <w:rsid w:val="00D248D6"/>
    <w:rsid w:val="00D32FF2"/>
    <w:rsid w:val="00D46E39"/>
    <w:rsid w:val="00DB37EC"/>
    <w:rsid w:val="00E8530C"/>
    <w:rsid w:val="00EC4D81"/>
    <w:rsid w:val="00F85113"/>
    <w:rsid w:val="00FA28AC"/>
    <w:rsid w:val="00FA7D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10749"/>
  <w15:docId w15:val="{C6791BB0-74F3-49F4-AC43-AFAAD10E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1"/>
        <w:szCs w:val="21"/>
        <w:lang w:val="de-DE" w:eastAsia="ja-JP" w:bidi="ar-SA"/>
      </w:rPr>
    </w:rPrDefault>
    <w:pPrDefault>
      <w:pPr>
        <w:spacing w:after="3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24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1">
    <w:name w:val="Formatvorlage1"/>
    <w:uiPriority w:val="99"/>
    <w:rsid w:val="00BD57C3"/>
    <w:pPr>
      <w:numPr>
        <w:numId w:val="1"/>
      </w:numPr>
    </w:pPr>
  </w:style>
  <w:style w:type="paragraph" w:customStyle="1" w:styleId="TWAdresse">
    <w:name w:val="TW Adresse"/>
    <w:qFormat/>
    <w:rsid w:val="00F85113"/>
    <w:pPr>
      <w:spacing w:after="0" w:line="240" w:lineRule="auto"/>
    </w:pPr>
  </w:style>
  <w:style w:type="paragraph" w:customStyle="1" w:styleId="TWDDFuzeile">
    <w:name w:val="TW DD Fußzeile"/>
    <w:basedOn w:val="Standard"/>
    <w:rsid w:val="00F85113"/>
    <w:pPr>
      <w:tabs>
        <w:tab w:val="left" w:pos="4860"/>
      </w:tabs>
      <w:spacing w:after="0"/>
    </w:pPr>
    <w:rPr>
      <w:rFonts w:eastAsia="Times New Roman" w:cs="Times New Roman"/>
      <w:sz w:val="13"/>
      <w:szCs w:val="13"/>
      <w:lang w:bidi="ar-EG"/>
    </w:rPr>
  </w:style>
  <w:style w:type="paragraph" w:customStyle="1" w:styleId="TWDDKopfzeile">
    <w:name w:val="TW DD Kopfzeile"/>
    <w:basedOn w:val="Standard"/>
    <w:rsid w:val="00F85113"/>
    <w:pPr>
      <w:spacing w:after="0"/>
      <w:ind w:right="360"/>
      <w:jc w:val="center"/>
    </w:pPr>
    <w:rPr>
      <w:rFonts w:eastAsia="Times New Roman" w:cs="Times New Roman"/>
      <w:lang w:bidi="ar-EG"/>
    </w:rPr>
  </w:style>
  <w:style w:type="paragraph" w:customStyle="1" w:styleId="TWDDProjektname">
    <w:name w:val="TW DD Projektname"/>
    <w:basedOn w:val="Standard"/>
    <w:rsid w:val="00F85113"/>
    <w:pPr>
      <w:spacing w:after="0"/>
      <w:jc w:val="center"/>
    </w:pPr>
    <w:rPr>
      <w:rFonts w:eastAsia="Times New Roman" w:cs="Times New Roman"/>
      <w:b/>
      <w:bCs/>
      <w:color w:val="999999"/>
      <w:u w:val="single"/>
      <w:lang w:bidi="ar-EG"/>
    </w:rPr>
  </w:style>
  <w:style w:type="paragraph" w:customStyle="1" w:styleId="TWDDberschrift">
    <w:name w:val="TW DD Überschrift"/>
    <w:basedOn w:val="Standard"/>
    <w:rsid w:val="00F85113"/>
    <w:pPr>
      <w:spacing w:after="0"/>
      <w:jc w:val="center"/>
      <w:outlineLvl w:val="0"/>
    </w:pPr>
    <w:rPr>
      <w:rFonts w:eastAsia="Times New Roman" w:cs="Times New Roman"/>
      <w:b/>
      <w:bCs/>
      <w:u w:val="single"/>
      <w:lang w:bidi="ar-EG"/>
    </w:rPr>
  </w:style>
  <w:style w:type="paragraph" w:customStyle="1" w:styleId="TWKopfzeile">
    <w:name w:val="TW Kopfzeile"/>
    <w:basedOn w:val="Standard"/>
    <w:rsid w:val="00F85113"/>
    <w:pPr>
      <w:tabs>
        <w:tab w:val="center" w:pos="4536"/>
        <w:tab w:val="right" w:pos="9072"/>
      </w:tabs>
      <w:spacing w:after="0"/>
    </w:pPr>
    <w:rPr>
      <w:rFonts w:eastAsia="Times New Roman" w:cs="Times New Roman"/>
      <w:lang w:bidi="ar-EG"/>
    </w:rPr>
  </w:style>
  <w:style w:type="numbering" w:customStyle="1" w:styleId="TWNummerierung">
    <w:name w:val="TW Nummerierung"/>
    <w:uiPriority w:val="99"/>
    <w:rsid w:val="00F85113"/>
    <w:pPr>
      <w:numPr>
        <w:numId w:val="2"/>
      </w:numPr>
    </w:pPr>
  </w:style>
  <w:style w:type="paragraph" w:customStyle="1" w:styleId="TWNummerierung1">
    <w:name w:val="TW Nummerierung 1"/>
    <w:next w:val="TWTextebene12"/>
    <w:qFormat/>
    <w:rsid w:val="00F85113"/>
    <w:pPr>
      <w:keepNext/>
      <w:numPr>
        <w:numId w:val="3"/>
      </w:numPr>
      <w:outlineLvl w:val="0"/>
    </w:pPr>
    <w:rPr>
      <w:b/>
    </w:rPr>
  </w:style>
  <w:style w:type="paragraph" w:customStyle="1" w:styleId="TWNummerierung2">
    <w:name w:val="TW Nummerierung 2"/>
    <w:next w:val="TWTextebene12"/>
    <w:qFormat/>
    <w:rsid w:val="00F85113"/>
    <w:pPr>
      <w:numPr>
        <w:ilvl w:val="1"/>
        <w:numId w:val="3"/>
      </w:numPr>
    </w:pPr>
  </w:style>
  <w:style w:type="paragraph" w:customStyle="1" w:styleId="TWNummerierung3">
    <w:name w:val="TW Nummerierung 3"/>
    <w:next w:val="TWTextebene3"/>
    <w:qFormat/>
    <w:rsid w:val="00F85113"/>
    <w:pPr>
      <w:numPr>
        <w:ilvl w:val="2"/>
        <w:numId w:val="3"/>
      </w:numPr>
    </w:pPr>
  </w:style>
  <w:style w:type="paragraph" w:customStyle="1" w:styleId="TWNummerierung4">
    <w:name w:val="TW Nummerierung 4"/>
    <w:next w:val="TWTextebene4"/>
    <w:qFormat/>
    <w:rsid w:val="00F85113"/>
    <w:pPr>
      <w:numPr>
        <w:ilvl w:val="3"/>
        <w:numId w:val="3"/>
      </w:numPr>
    </w:pPr>
  </w:style>
  <w:style w:type="paragraph" w:customStyle="1" w:styleId="TWNummerierung5">
    <w:name w:val="TW Nummerierung 5"/>
    <w:next w:val="TWTextebene5"/>
    <w:qFormat/>
    <w:rsid w:val="00F85113"/>
    <w:pPr>
      <w:numPr>
        <w:ilvl w:val="4"/>
        <w:numId w:val="3"/>
      </w:numPr>
    </w:pPr>
  </w:style>
  <w:style w:type="paragraph" w:customStyle="1" w:styleId="TWNummerierung6">
    <w:name w:val="TW Nummerierung 6"/>
    <w:next w:val="TWTextebene6"/>
    <w:qFormat/>
    <w:rsid w:val="00F85113"/>
    <w:pPr>
      <w:numPr>
        <w:ilvl w:val="5"/>
        <w:numId w:val="3"/>
      </w:numPr>
    </w:pPr>
  </w:style>
  <w:style w:type="paragraph" w:customStyle="1" w:styleId="TWNummerierung7">
    <w:name w:val="TW Nummerierung 7"/>
    <w:next w:val="TWTextebene7"/>
    <w:qFormat/>
    <w:rsid w:val="00F85113"/>
    <w:pPr>
      <w:numPr>
        <w:ilvl w:val="6"/>
        <w:numId w:val="3"/>
      </w:numPr>
    </w:pPr>
  </w:style>
  <w:style w:type="numbering" w:customStyle="1" w:styleId="TWSchriftsatz">
    <w:name w:val="TW Schriftsatz"/>
    <w:uiPriority w:val="99"/>
    <w:rsid w:val="00F85113"/>
    <w:pPr>
      <w:numPr>
        <w:numId w:val="4"/>
      </w:numPr>
    </w:pPr>
  </w:style>
  <w:style w:type="paragraph" w:customStyle="1" w:styleId="TWSchriftsatz7">
    <w:name w:val="TW Schriftsatz 7"/>
    <w:next w:val="TWTextebene6"/>
    <w:qFormat/>
    <w:rsid w:val="00F85113"/>
    <w:pPr>
      <w:numPr>
        <w:ilvl w:val="6"/>
        <w:numId w:val="5"/>
      </w:numPr>
    </w:pPr>
  </w:style>
  <w:style w:type="paragraph" w:customStyle="1" w:styleId="TWSchriftsatz1">
    <w:name w:val="TW Schriftsatz 1"/>
    <w:basedOn w:val="TWSchriftsatz7"/>
    <w:next w:val="TWTextebene"/>
    <w:qFormat/>
    <w:rsid w:val="00F85113"/>
    <w:pPr>
      <w:keepNext/>
      <w:keepLines/>
      <w:numPr>
        <w:ilvl w:val="0"/>
      </w:numPr>
      <w:jc w:val="center"/>
    </w:pPr>
    <w:rPr>
      <w:b/>
    </w:rPr>
  </w:style>
  <w:style w:type="paragraph" w:customStyle="1" w:styleId="TWSchriftsatz2">
    <w:name w:val="TW Schriftsatz 2"/>
    <w:next w:val="TWTextebene12"/>
    <w:qFormat/>
    <w:rsid w:val="00F85113"/>
    <w:pPr>
      <w:keepNext/>
      <w:numPr>
        <w:ilvl w:val="1"/>
        <w:numId w:val="5"/>
      </w:numPr>
      <w:outlineLvl w:val="1"/>
    </w:pPr>
    <w:rPr>
      <w:b/>
    </w:rPr>
  </w:style>
  <w:style w:type="paragraph" w:customStyle="1" w:styleId="TWSchriftsatz3">
    <w:name w:val="TW Schriftsatz 3"/>
    <w:next w:val="TWTextebene12"/>
    <w:qFormat/>
    <w:rsid w:val="00F85113"/>
    <w:pPr>
      <w:keepNext/>
      <w:numPr>
        <w:ilvl w:val="2"/>
        <w:numId w:val="5"/>
      </w:numPr>
      <w:outlineLvl w:val="2"/>
    </w:pPr>
  </w:style>
  <w:style w:type="paragraph" w:customStyle="1" w:styleId="TWSchriftsatz4">
    <w:name w:val="TW Schriftsatz 4"/>
    <w:next w:val="TWTextebene3"/>
    <w:qFormat/>
    <w:rsid w:val="00F85113"/>
    <w:pPr>
      <w:keepNext/>
      <w:numPr>
        <w:ilvl w:val="3"/>
        <w:numId w:val="5"/>
      </w:numPr>
      <w:outlineLvl w:val="3"/>
    </w:pPr>
  </w:style>
  <w:style w:type="paragraph" w:customStyle="1" w:styleId="TWSchriftsatz5">
    <w:name w:val="TW Schriftsatz 5"/>
    <w:next w:val="TWTextebene4"/>
    <w:qFormat/>
    <w:rsid w:val="00F85113"/>
    <w:pPr>
      <w:numPr>
        <w:ilvl w:val="4"/>
        <w:numId w:val="5"/>
      </w:numPr>
    </w:pPr>
  </w:style>
  <w:style w:type="paragraph" w:customStyle="1" w:styleId="TWSchriftsatz6">
    <w:name w:val="TW Schriftsatz 6"/>
    <w:next w:val="TWTextebene5"/>
    <w:qFormat/>
    <w:rsid w:val="00F85113"/>
    <w:pPr>
      <w:numPr>
        <w:ilvl w:val="5"/>
        <w:numId w:val="5"/>
      </w:numPr>
    </w:pPr>
  </w:style>
  <w:style w:type="paragraph" w:customStyle="1" w:styleId="TWSchriftsatz8">
    <w:name w:val="TW Schriftsatz 8"/>
    <w:next w:val="TWTextebene7"/>
    <w:qFormat/>
    <w:rsid w:val="00F85113"/>
    <w:pPr>
      <w:numPr>
        <w:ilvl w:val="7"/>
        <w:numId w:val="5"/>
      </w:numPr>
    </w:pPr>
  </w:style>
  <w:style w:type="paragraph" w:customStyle="1" w:styleId="TWSchriftsatzAnlage">
    <w:name w:val="TW Schriftsatz Anlage"/>
    <w:basedOn w:val="Standard"/>
    <w:next w:val="Standard"/>
    <w:rsid w:val="00F85113"/>
    <w:pPr>
      <w:jc w:val="center"/>
    </w:pPr>
    <w:rPr>
      <w:rFonts w:eastAsia="Times New Roman" w:cs="Times New Roman"/>
      <w:b/>
      <w:lang w:bidi="ar-EG"/>
    </w:rPr>
  </w:style>
  <w:style w:type="paragraph" w:customStyle="1" w:styleId="TWSchriftsatzAntrag">
    <w:name w:val="TW Schriftsatz Antrag"/>
    <w:basedOn w:val="Standard"/>
    <w:next w:val="TWTextebene"/>
    <w:rsid w:val="00F85113"/>
    <w:pPr>
      <w:ind w:left="720"/>
    </w:pPr>
    <w:rPr>
      <w:rFonts w:eastAsia="Times New Roman" w:cs="Times New Roman"/>
      <w:b/>
      <w:lang w:bidi="ar-EG"/>
    </w:rPr>
  </w:style>
  <w:style w:type="paragraph" w:customStyle="1" w:styleId="TWSchriftsatzAntragnummeriert">
    <w:name w:val="TW Schriftsatz Antrag nummeriert"/>
    <w:basedOn w:val="TWSchriftsatzAntrag"/>
    <w:rsid w:val="00F85113"/>
    <w:pPr>
      <w:numPr>
        <w:numId w:val="6"/>
      </w:numPr>
      <w:tabs>
        <w:tab w:val="clear" w:pos="1440"/>
      </w:tabs>
    </w:pPr>
  </w:style>
  <w:style w:type="paragraph" w:customStyle="1" w:styleId="TWStandard">
    <w:name w:val="TW Standard"/>
    <w:qFormat/>
    <w:rsid w:val="00F85113"/>
    <w:pPr>
      <w:spacing w:after="0"/>
    </w:pPr>
  </w:style>
  <w:style w:type="paragraph" w:customStyle="1" w:styleId="TWTabellebilinguall1">
    <w:name w:val="TW Tabelle bilingual l1"/>
    <w:basedOn w:val="Standard"/>
    <w:next w:val="Standard"/>
    <w:rsid w:val="00F85113"/>
    <w:pPr>
      <w:numPr>
        <w:numId w:val="9"/>
      </w:numPr>
      <w:spacing w:after="60" w:line="240" w:lineRule="auto"/>
      <w:ind w:left="720" w:hanging="720"/>
    </w:pPr>
    <w:rPr>
      <w:rFonts w:eastAsia="Times New Roman" w:cs="Times New Roman"/>
      <w:b/>
    </w:rPr>
  </w:style>
  <w:style w:type="paragraph" w:customStyle="1" w:styleId="TWTabellebilinguall2">
    <w:name w:val="TW Tabelle bilingual l2"/>
    <w:basedOn w:val="Standard"/>
    <w:next w:val="Standard"/>
    <w:rsid w:val="00F85113"/>
    <w:pPr>
      <w:numPr>
        <w:ilvl w:val="1"/>
        <w:numId w:val="9"/>
      </w:numPr>
      <w:spacing w:after="60" w:line="240" w:lineRule="auto"/>
      <w:ind w:left="1440" w:hanging="720"/>
    </w:pPr>
    <w:rPr>
      <w:rFonts w:eastAsia="Times New Roman" w:cs="Times New Roman"/>
      <w:lang w:bidi="ar-EG"/>
    </w:rPr>
  </w:style>
  <w:style w:type="paragraph" w:customStyle="1" w:styleId="TWTabellebilinguall3">
    <w:name w:val="TW Tabelle bilingual l3"/>
    <w:basedOn w:val="Standard"/>
    <w:next w:val="Standard"/>
    <w:rsid w:val="00F85113"/>
    <w:pPr>
      <w:numPr>
        <w:ilvl w:val="2"/>
        <w:numId w:val="9"/>
      </w:numPr>
      <w:spacing w:after="60" w:line="240" w:lineRule="auto"/>
      <w:ind w:left="2160" w:hanging="720"/>
    </w:pPr>
    <w:rPr>
      <w:rFonts w:eastAsia="Times New Roman" w:cs="Times New Roman"/>
    </w:rPr>
  </w:style>
  <w:style w:type="paragraph" w:customStyle="1" w:styleId="TWTabellebilinguall4">
    <w:name w:val="TW Tabelle bilingual l4"/>
    <w:basedOn w:val="Standard"/>
    <w:next w:val="Standard"/>
    <w:rsid w:val="00F85113"/>
    <w:pPr>
      <w:numPr>
        <w:ilvl w:val="3"/>
        <w:numId w:val="9"/>
      </w:numPr>
      <w:spacing w:after="60" w:line="240" w:lineRule="auto"/>
      <w:ind w:left="2880" w:hanging="720"/>
    </w:pPr>
    <w:rPr>
      <w:rFonts w:eastAsia="Times New Roman" w:cs="Times New Roman"/>
    </w:rPr>
  </w:style>
  <w:style w:type="paragraph" w:customStyle="1" w:styleId="TWTabellebilinguall5">
    <w:name w:val="TW Tabelle bilingual l5"/>
    <w:basedOn w:val="Standard"/>
    <w:next w:val="Standard"/>
    <w:rsid w:val="00F85113"/>
    <w:pPr>
      <w:numPr>
        <w:ilvl w:val="4"/>
        <w:numId w:val="9"/>
      </w:numPr>
      <w:spacing w:after="60" w:line="240" w:lineRule="auto"/>
      <w:ind w:left="3600" w:hanging="720"/>
    </w:pPr>
    <w:rPr>
      <w:rFonts w:eastAsia="Times New Roman" w:cs="Times New Roman"/>
    </w:rPr>
  </w:style>
  <w:style w:type="paragraph" w:customStyle="1" w:styleId="TWTabellebilinguall6">
    <w:name w:val="TW Tabelle bilingual l6"/>
    <w:basedOn w:val="Standard"/>
    <w:rsid w:val="00F85113"/>
    <w:pPr>
      <w:numPr>
        <w:ilvl w:val="5"/>
        <w:numId w:val="9"/>
      </w:numPr>
      <w:tabs>
        <w:tab w:val="left" w:pos="1701"/>
      </w:tabs>
      <w:spacing w:after="60" w:line="240" w:lineRule="auto"/>
      <w:ind w:left="4320" w:hanging="720"/>
    </w:pPr>
    <w:rPr>
      <w:rFonts w:eastAsia="Times New Roman" w:cs="Times New Roman"/>
      <w:lang w:bidi="ar-EG"/>
    </w:rPr>
  </w:style>
  <w:style w:type="paragraph" w:customStyle="1" w:styleId="TWTabellebilinguall7">
    <w:name w:val="TW Tabelle bilingual l7"/>
    <w:basedOn w:val="Standard"/>
    <w:rsid w:val="00F85113"/>
    <w:pPr>
      <w:numPr>
        <w:ilvl w:val="6"/>
        <w:numId w:val="9"/>
      </w:numPr>
      <w:tabs>
        <w:tab w:val="left" w:pos="1701"/>
      </w:tabs>
      <w:spacing w:after="60" w:line="240" w:lineRule="auto"/>
      <w:ind w:left="5040" w:hanging="720"/>
    </w:pPr>
    <w:rPr>
      <w:rFonts w:eastAsia="Times New Roman" w:cs="Times New Roman"/>
      <w:lang w:bidi="ar-EG"/>
    </w:rPr>
  </w:style>
  <w:style w:type="paragraph" w:customStyle="1" w:styleId="TWTabellebilingualr1">
    <w:name w:val="TW Tabelle bilingual r1"/>
    <w:basedOn w:val="TWTabellebilinguall1"/>
    <w:next w:val="Standard"/>
    <w:link w:val="TWTabellebilingualr1ZchnZchn"/>
    <w:rsid w:val="00F85113"/>
    <w:pPr>
      <w:numPr>
        <w:numId w:val="10"/>
      </w:numPr>
      <w:tabs>
        <w:tab w:val="num" w:pos="720"/>
      </w:tabs>
      <w:ind w:left="720" w:hanging="720"/>
    </w:pPr>
    <w:rPr>
      <w:rFonts w:eastAsiaTheme="minorHAnsi" w:cs="Arial"/>
    </w:rPr>
  </w:style>
  <w:style w:type="character" w:customStyle="1" w:styleId="TWTabellebilingualr1ZchnZchn">
    <w:name w:val="TW Tabelle bilingual r1 Zchn Zchn"/>
    <w:basedOn w:val="Absatz-Standardschriftart"/>
    <w:link w:val="TWTabellebilingualr1"/>
    <w:locked/>
    <w:rsid w:val="00F85113"/>
    <w:rPr>
      <w:rFonts w:ascii="Arial" w:hAnsi="Arial" w:cs="Arial"/>
      <w:b/>
      <w:sz w:val="21"/>
    </w:rPr>
  </w:style>
  <w:style w:type="paragraph" w:customStyle="1" w:styleId="TWTabellebilingualr2">
    <w:name w:val="TW Tabelle bilingual r2"/>
    <w:basedOn w:val="Standard"/>
    <w:next w:val="Standard"/>
    <w:rsid w:val="00F85113"/>
    <w:pPr>
      <w:widowControl w:val="0"/>
      <w:numPr>
        <w:ilvl w:val="1"/>
        <w:numId w:val="10"/>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3">
    <w:name w:val="TW Tabelle bilingual r3"/>
    <w:basedOn w:val="Standard"/>
    <w:next w:val="Standard"/>
    <w:rsid w:val="00F85113"/>
    <w:pPr>
      <w:widowControl w:val="0"/>
      <w:numPr>
        <w:ilvl w:val="2"/>
        <w:numId w:val="10"/>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4">
    <w:name w:val="TW Tabelle bilingual r4"/>
    <w:basedOn w:val="Standard"/>
    <w:next w:val="Standard"/>
    <w:rsid w:val="00F85113"/>
    <w:pPr>
      <w:widowControl w:val="0"/>
      <w:numPr>
        <w:ilvl w:val="3"/>
        <w:numId w:val="10"/>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5">
    <w:name w:val="TW Tabelle bilingual r5"/>
    <w:basedOn w:val="Standard"/>
    <w:next w:val="Standard"/>
    <w:rsid w:val="00F85113"/>
    <w:pPr>
      <w:widowControl w:val="0"/>
      <w:numPr>
        <w:ilvl w:val="4"/>
        <w:numId w:val="10"/>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6">
    <w:name w:val="TW Tabelle bilingual r6"/>
    <w:basedOn w:val="Standard"/>
    <w:rsid w:val="00F85113"/>
    <w:pPr>
      <w:numPr>
        <w:ilvl w:val="5"/>
        <w:numId w:val="10"/>
      </w:numPr>
      <w:tabs>
        <w:tab w:val="num" w:pos="720"/>
        <w:tab w:val="left" w:pos="1701"/>
      </w:tabs>
      <w:spacing w:after="60" w:line="240" w:lineRule="auto"/>
      <w:ind w:left="720" w:hanging="720"/>
    </w:pPr>
    <w:rPr>
      <w:rFonts w:eastAsia="Times New Roman" w:cs="Times New Roman"/>
      <w:lang w:bidi="ar-EG"/>
    </w:rPr>
  </w:style>
  <w:style w:type="paragraph" w:customStyle="1" w:styleId="TWTabellebilingualr7">
    <w:name w:val="TW Tabelle bilingual r7"/>
    <w:basedOn w:val="Standard"/>
    <w:rsid w:val="00F85113"/>
    <w:pPr>
      <w:numPr>
        <w:ilvl w:val="6"/>
        <w:numId w:val="10"/>
      </w:numPr>
      <w:tabs>
        <w:tab w:val="num" w:pos="720"/>
        <w:tab w:val="left" w:pos="1701"/>
      </w:tabs>
      <w:spacing w:after="60" w:line="240" w:lineRule="auto"/>
      <w:ind w:left="720" w:hanging="720"/>
    </w:pPr>
    <w:rPr>
      <w:rFonts w:eastAsia="Times New Roman" w:cs="Times New Roman"/>
      <w:lang w:bidi="ar-EG"/>
    </w:rPr>
  </w:style>
  <w:style w:type="paragraph" w:customStyle="1" w:styleId="TWTabelleDD1">
    <w:name w:val="TW Tabelle DD 1"/>
    <w:basedOn w:val="Standard"/>
    <w:rsid w:val="00A401A2"/>
    <w:pPr>
      <w:widowControl w:val="0"/>
      <w:numPr>
        <w:numId w:val="15"/>
      </w:numPr>
      <w:spacing w:before="60" w:after="60" w:line="240" w:lineRule="auto"/>
    </w:pPr>
    <w:rPr>
      <w:rFonts w:eastAsia="Times New Roman" w:cs="Arial"/>
      <w:b/>
      <w:sz w:val="20"/>
      <w:szCs w:val="20"/>
      <w:lang w:eastAsia="de-DE"/>
    </w:rPr>
  </w:style>
  <w:style w:type="paragraph" w:customStyle="1" w:styleId="TWTabelleDD2">
    <w:name w:val="TW Tabelle DD 2"/>
    <w:basedOn w:val="Standard"/>
    <w:rsid w:val="00A401A2"/>
    <w:pPr>
      <w:widowControl w:val="0"/>
      <w:numPr>
        <w:ilvl w:val="1"/>
        <w:numId w:val="15"/>
      </w:numPr>
      <w:spacing w:before="60" w:after="60" w:line="240" w:lineRule="auto"/>
    </w:pPr>
    <w:rPr>
      <w:rFonts w:eastAsia="Times New Roman" w:cs="Arial"/>
      <w:b/>
      <w:szCs w:val="20"/>
      <w:lang w:eastAsia="de-DE"/>
    </w:rPr>
  </w:style>
  <w:style w:type="paragraph" w:customStyle="1" w:styleId="TWTabelleDD3">
    <w:name w:val="TW Tabelle DD 3"/>
    <w:basedOn w:val="Standard"/>
    <w:rsid w:val="00A401A2"/>
    <w:pPr>
      <w:widowControl w:val="0"/>
      <w:numPr>
        <w:ilvl w:val="2"/>
        <w:numId w:val="15"/>
      </w:numPr>
      <w:tabs>
        <w:tab w:val="left" w:pos="567"/>
        <w:tab w:val="left" w:pos="1134"/>
        <w:tab w:val="left" w:pos="1701"/>
      </w:tabs>
      <w:autoSpaceDE w:val="0"/>
      <w:autoSpaceDN w:val="0"/>
      <w:adjustRightInd w:val="0"/>
      <w:spacing w:after="60" w:line="240" w:lineRule="auto"/>
    </w:pPr>
    <w:rPr>
      <w:rFonts w:eastAsia="Times New Roman" w:cs="Arial"/>
      <w:sz w:val="20"/>
      <w:szCs w:val="20"/>
      <w:lang w:eastAsia="de-DE"/>
    </w:rPr>
  </w:style>
  <w:style w:type="paragraph" w:customStyle="1" w:styleId="TWTabelleDD4">
    <w:name w:val="TW Tabelle DD 4"/>
    <w:basedOn w:val="TWTabelleDD3"/>
    <w:rsid w:val="00F85113"/>
    <w:pPr>
      <w:numPr>
        <w:ilvl w:val="3"/>
      </w:numPr>
    </w:pPr>
  </w:style>
  <w:style w:type="paragraph" w:customStyle="1" w:styleId="TWTabelleDDBullets">
    <w:name w:val="TW Tabelle DD Bullets"/>
    <w:basedOn w:val="Standard"/>
    <w:rsid w:val="00F85113"/>
    <w:pPr>
      <w:numPr>
        <w:numId w:val="8"/>
      </w:numPr>
      <w:tabs>
        <w:tab w:val="left" w:pos="567"/>
        <w:tab w:val="left" w:pos="1134"/>
        <w:tab w:val="left" w:pos="1701"/>
      </w:tabs>
      <w:spacing w:after="60" w:line="240" w:lineRule="auto"/>
    </w:pPr>
    <w:rPr>
      <w:rFonts w:eastAsia="Times New Roman" w:cs="Times New Roman"/>
      <w:sz w:val="20"/>
      <w:lang w:bidi="ar-EG"/>
    </w:rPr>
  </w:style>
  <w:style w:type="paragraph" w:customStyle="1" w:styleId="TWTabelleDDText">
    <w:name w:val="TW Tabelle DD Text"/>
    <w:basedOn w:val="Standard"/>
    <w:rsid w:val="00F85113"/>
    <w:pPr>
      <w:tabs>
        <w:tab w:val="left" w:pos="567"/>
        <w:tab w:val="left" w:pos="1134"/>
        <w:tab w:val="left" w:pos="1701"/>
      </w:tabs>
      <w:spacing w:after="60" w:line="240" w:lineRule="auto"/>
    </w:pPr>
    <w:rPr>
      <w:rFonts w:eastAsia="Times New Roman" w:cs="Times New Roman"/>
      <w:sz w:val="20"/>
      <w:lang w:bidi="ar-EG"/>
    </w:rPr>
  </w:style>
  <w:style w:type="paragraph" w:customStyle="1" w:styleId="TWTabelleDDberschrift">
    <w:name w:val="TW Tabelle DD Überschrift"/>
    <w:basedOn w:val="Standard"/>
    <w:link w:val="TWTabelleDDberschriftZchnZchn"/>
    <w:rsid w:val="00F85113"/>
    <w:pPr>
      <w:tabs>
        <w:tab w:val="left" w:pos="567"/>
        <w:tab w:val="left" w:pos="1134"/>
        <w:tab w:val="left" w:pos="1701"/>
      </w:tabs>
      <w:spacing w:after="60" w:line="240" w:lineRule="auto"/>
    </w:pPr>
    <w:rPr>
      <w:rFonts w:cs="Arial"/>
      <w:b/>
      <w:bCs/>
    </w:rPr>
  </w:style>
  <w:style w:type="character" w:customStyle="1" w:styleId="TWTabelleDDberschriftZchnZchn">
    <w:name w:val="TW Tabelle DD Überschrift Zchn Zchn"/>
    <w:basedOn w:val="Absatz-Standardschriftart"/>
    <w:link w:val="TWTabelleDDberschrift"/>
    <w:locked/>
    <w:rsid w:val="00F85113"/>
    <w:rPr>
      <w:rFonts w:ascii="Arial" w:hAnsi="Arial" w:cs="Arial"/>
      <w:b/>
      <w:bCs/>
      <w:sz w:val="21"/>
    </w:rPr>
  </w:style>
  <w:style w:type="numbering" w:customStyle="1" w:styleId="TWTabellelinks">
    <w:name w:val="TW Tabelle links"/>
    <w:uiPriority w:val="99"/>
    <w:rsid w:val="00F85113"/>
    <w:pPr>
      <w:numPr>
        <w:numId w:val="9"/>
      </w:numPr>
    </w:pPr>
  </w:style>
  <w:style w:type="numbering" w:customStyle="1" w:styleId="TWTabellerechts">
    <w:name w:val="TW Tabelle rechts"/>
    <w:uiPriority w:val="99"/>
    <w:rsid w:val="00F85113"/>
    <w:pPr>
      <w:numPr>
        <w:numId w:val="10"/>
      </w:numPr>
    </w:pPr>
  </w:style>
  <w:style w:type="paragraph" w:customStyle="1" w:styleId="TWTabelleSpaltenberschrift">
    <w:name w:val="TW Tabelle Spaltenüberschrift"/>
    <w:basedOn w:val="Standard"/>
    <w:rsid w:val="00F85113"/>
    <w:pPr>
      <w:spacing w:after="0"/>
      <w:jc w:val="center"/>
    </w:pPr>
    <w:rPr>
      <w:rFonts w:eastAsia="Times New Roman" w:cs="Times New Roman"/>
      <w:b/>
      <w:lang w:bidi="ar-EG"/>
    </w:rPr>
  </w:style>
  <w:style w:type="paragraph" w:customStyle="1" w:styleId="TWTabelleTextebene">
    <w:name w:val="TW Tabelle Textebene"/>
    <w:link w:val="TWTabelleTextebeneZchnZchn"/>
    <w:rsid w:val="00F85113"/>
    <w:pPr>
      <w:tabs>
        <w:tab w:val="left" w:pos="567"/>
        <w:tab w:val="left" w:pos="1134"/>
        <w:tab w:val="left" w:pos="1701"/>
      </w:tabs>
      <w:spacing w:after="0" w:line="240" w:lineRule="auto"/>
    </w:pPr>
    <w:rPr>
      <w:rFonts w:cs="Arial"/>
      <w:lang w:bidi="ar-EG"/>
    </w:rPr>
  </w:style>
  <w:style w:type="character" w:customStyle="1" w:styleId="TWTabelleTextebeneZchnZchn">
    <w:name w:val="TW Tabelle Textebene Zchn Zchn"/>
    <w:basedOn w:val="Absatz-Standardschriftart"/>
    <w:link w:val="TWTabelleTextebene"/>
    <w:locked/>
    <w:rsid w:val="00F85113"/>
    <w:rPr>
      <w:rFonts w:ascii="Arial" w:hAnsi="Arial" w:cs="Arial"/>
      <w:sz w:val="21"/>
      <w:szCs w:val="21"/>
      <w:lang w:bidi="ar-EG"/>
    </w:rPr>
  </w:style>
  <w:style w:type="paragraph" w:customStyle="1" w:styleId="TWTabelleTextebene1-2">
    <w:name w:val="TW Tabelle Textebene 1-2"/>
    <w:basedOn w:val="TWTabelleTextebene"/>
    <w:rsid w:val="00F85113"/>
    <w:pPr>
      <w:ind w:left="567"/>
    </w:pPr>
  </w:style>
  <w:style w:type="paragraph" w:customStyle="1" w:styleId="TWTabelleTextebene3-7">
    <w:name w:val="TW Tabelle Textebene 3-7"/>
    <w:basedOn w:val="TWTabelleTextebene"/>
    <w:rsid w:val="00F85113"/>
    <w:pPr>
      <w:ind w:left="1134"/>
    </w:pPr>
  </w:style>
  <w:style w:type="paragraph" w:customStyle="1" w:styleId="TWTabelleberschrift">
    <w:name w:val="TW Tabelle Überschrift"/>
    <w:basedOn w:val="TWTabelleTextebene"/>
    <w:rsid w:val="00F85113"/>
    <w:pPr>
      <w:jc w:val="center"/>
    </w:pPr>
    <w:rPr>
      <w:rFonts w:ascii="Arial Fett" w:hAnsi="Arial Fett"/>
      <w:caps/>
    </w:rPr>
  </w:style>
  <w:style w:type="paragraph" w:customStyle="1" w:styleId="TWTextebene">
    <w:name w:val="TW Textebene"/>
    <w:qFormat/>
    <w:rsid w:val="00F85113"/>
  </w:style>
  <w:style w:type="paragraph" w:customStyle="1" w:styleId="TWTextebene12">
    <w:name w:val="TW Textebene 1+2"/>
    <w:qFormat/>
    <w:rsid w:val="00F85113"/>
    <w:pPr>
      <w:ind w:left="720"/>
    </w:pPr>
  </w:style>
  <w:style w:type="paragraph" w:customStyle="1" w:styleId="TWTextebene3">
    <w:name w:val="TW Textebene 3"/>
    <w:qFormat/>
    <w:rsid w:val="00F85113"/>
    <w:pPr>
      <w:ind w:left="1440"/>
    </w:pPr>
  </w:style>
  <w:style w:type="paragraph" w:customStyle="1" w:styleId="TWTextebene4">
    <w:name w:val="TW Textebene 4"/>
    <w:qFormat/>
    <w:rsid w:val="00F85113"/>
    <w:pPr>
      <w:ind w:left="2160"/>
    </w:pPr>
  </w:style>
  <w:style w:type="paragraph" w:customStyle="1" w:styleId="TWTextebene5">
    <w:name w:val="TW Textebene 5"/>
    <w:qFormat/>
    <w:rsid w:val="00F85113"/>
    <w:pPr>
      <w:ind w:left="2880"/>
    </w:pPr>
  </w:style>
  <w:style w:type="paragraph" w:customStyle="1" w:styleId="TWTextebene6">
    <w:name w:val="TW Textebene 6"/>
    <w:qFormat/>
    <w:rsid w:val="00F85113"/>
    <w:pPr>
      <w:ind w:left="3600"/>
    </w:pPr>
  </w:style>
  <w:style w:type="paragraph" w:customStyle="1" w:styleId="TWTextebene7">
    <w:name w:val="TW Textebene 7"/>
    <w:qFormat/>
    <w:rsid w:val="00F85113"/>
    <w:pPr>
      <w:ind w:left="4321"/>
    </w:pPr>
  </w:style>
  <w:style w:type="paragraph" w:customStyle="1" w:styleId="TWberschrift">
    <w:name w:val="TW Überschrift"/>
    <w:next w:val="TWTextebene"/>
    <w:qFormat/>
    <w:rsid w:val="00F85113"/>
    <w:pPr>
      <w:keepNext/>
      <w:outlineLvl w:val="0"/>
    </w:pPr>
    <w:rPr>
      <w:b/>
    </w:rPr>
  </w:style>
  <w:style w:type="paragraph" w:customStyle="1" w:styleId="TWberschriftSeitenumbruch">
    <w:name w:val="TW Überschrift Seitenumbruch"/>
    <w:basedOn w:val="TWberschrift"/>
    <w:next w:val="TWTextebene"/>
    <w:qFormat/>
    <w:rsid w:val="00F85113"/>
    <w:pPr>
      <w:pageBreakBefore/>
    </w:pPr>
  </w:style>
  <w:style w:type="paragraph" w:customStyle="1" w:styleId="TWUnterschrift">
    <w:name w:val="TW Unterschrift"/>
    <w:basedOn w:val="Standard"/>
    <w:rsid w:val="00F85113"/>
    <w:pPr>
      <w:tabs>
        <w:tab w:val="left" w:pos="4961"/>
      </w:tabs>
      <w:spacing w:after="0" w:line="240" w:lineRule="auto"/>
    </w:pPr>
    <w:rPr>
      <w:rFonts w:eastAsia="Times New Roman" w:cs="Times New Roman"/>
      <w:lang w:bidi="ar-EG"/>
    </w:rPr>
  </w:style>
  <w:style w:type="paragraph" w:customStyle="1" w:styleId="TWVertragAnlagenverzeichnis">
    <w:name w:val="TW Vertrag Anlagenverzeichnis"/>
    <w:link w:val="TWVertragAnlagenverzeichnisZchnZchn"/>
    <w:qFormat/>
    <w:rsid w:val="00F85113"/>
    <w:pPr>
      <w:tabs>
        <w:tab w:val="left" w:pos="3969"/>
      </w:tabs>
    </w:pPr>
  </w:style>
  <w:style w:type="character" w:customStyle="1" w:styleId="TWVertragAnlagenverzeichnisZchnZchn">
    <w:name w:val="TW Vertrag Anlagenverzeichnis Zchn Zchn"/>
    <w:basedOn w:val="Absatz-Standardschriftart"/>
    <w:link w:val="TWVertragAnlagenverzeichnis"/>
    <w:locked/>
    <w:rsid w:val="00F85113"/>
    <w:rPr>
      <w:rFonts w:ascii="Arial" w:hAnsi="Arial"/>
      <w:sz w:val="21"/>
    </w:rPr>
  </w:style>
  <w:style w:type="paragraph" w:customStyle="1" w:styleId="TWVertragDeckblatt">
    <w:name w:val="TW Vertrag Deckblatt"/>
    <w:basedOn w:val="Standard"/>
    <w:rsid w:val="00F85113"/>
    <w:pPr>
      <w:spacing w:after="0"/>
    </w:pPr>
    <w:rPr>
      <w:rFonts w:eastAsia="Times New Roman" w:cs="Times New Roman"/>
    </w:rPr>
  </w:style>
  <w:style w:type="paragraph" w:customStyle="1" w:styleId="TWVertragFuzeile">
    <w:name w:val="TW Vertrag Fußzeile"/>
    <w:basedOn w:val="Standard"/>
    <w:rsid w:val="00F85113"/>
    <w:pPr>
      <w:tabs>
        <w:tab w:val="center" w:pos="4536"/>
        <w:tab w:val="right" w:pos="9072"/>
      </w:tabs>
      <w:spacing w:after="0" w:line="240" w:lineRule="auto"/>
    </w:pPr>
    <w:rPr>
      <w:rFonts w:eastAsia="Times New Roman" w:cs="Times New Roman"/>
      <w:sz w:val="16"/>
      <w:lang w:bidi="ar-EG"/>
    </w:rPr>
  </w:style>
  <w:style w:type="numbering" w:customStyle="1" w:styleId="TWVertragParteienNummerierung">
    <w:name w:val="TW Vertrag Parteien Nummerierung"/>
    <w:uiPriority w:val="99"/>
    <w:rsid w:val="00F85113"/>
    <w:pPr>
      <w:numPr>
        <w:numId w:val="11"/>
      </w:numPr>
    </w:pPr>
  </w:style>
  <w:style w:type="paragraph" w:customStyle="1" w:styleId="TWVertragParteien">
    <w:name w:val="TW Vertrag Parteien"/>
    <w:next w:val="TWVertragParteienrechts"/>
    <w:rsid w:val="00F85113"/>
    <w:pPr>
      <w:numPr>
        <w:numId w:val="12"/>
      </w:numPr>
    </w:pPr>
  </w:style>
  <w:style w:type="paragraph" w:customStyle="1" w:styleId="TWVertragParteienrechts">
    <w:name w:val="TW Vertrag Parteien rechts"/>
    <w:next w:val="TWTextebene"/>
    <w:rsid w:val="00F85113"/>
    <w:pPr>
      <w:jc w:val="right"/>
    </w:pPr>
  </w:style>
  <w:style w:type="numbering" w:customStyle="1" w:styleId="TWVertragPrambel">
    <w:name w:val="TW Vertrag Präambel"/>
    <w:uiPriority w:val="99"/>
    <w:rsid w:val="00F85113"/>
    <w:pPr>
      <w:numPr>
        <w:numId w:val="13"/>
      </w:numPr>
    </w:pPr>
  </w:style>
  <w:style w:type="paragraph" w:customStyle="1" w:styleId="TWVertragPrambel1">
    <w:name w:val="TW Vertrag Präambel 1"/>
    <w:next w:val="TWTextebene12"/>
    <w:qFormat/>
    <w:rsid w:val="00F85113"/>
    <w:pPr>
      <w:numPr>
        <w:numId w:val="14"/>
      </w:numPr>
    </w:pPr>
  </w:style>
  <w:style w:type="paragraph" w:customStyle="1" w:styleId="TWVertragPrambel2">
    <w:name w:val="TW Vertrag Präambel 2"/>
    <w:next w:val="TWTextebene3"/>
    <w:qFormat/>
    <w:rsid w:val="00F85113"/>
    <w:pPr>
      <w:numPr>
        <w:ilvl w:val="1"/>
        <w:numId w:val="14"/>
      </w:numPr>
    </w:pPr>
  </w:style>
  <w:style w:type="paragraph" w:customStyle="1" w:styleId="TWVertragPrambel3">
    <w:name w:val="TW Vertrag Präambel 3"/>
    <w:next w:val="TWTextebene4"/>
    <w:qFormat/>
    <w:rsid w:val="00F85113"/>
    <w:pPr>
      <w:numPr>
        <w:ilvl w:val="2"/>
        <w:numId w:val="14"/>
      </w:numPr>
    </w:pPr>
  </w:style>
  <w:style w:type="paragraph" w:customStyle="1" w:styleId="TWVertragTitel">
    <w:name w:val="TW Vertrag Titel"/>
    <w:next w:val="TWTextebene"/>
    <w:qFormat/>
    <w:rsid w:val="00F85113"/>
    <w:pPr>
      <w:spacing w:after="1440" w:line="240" w:lineRule="auto"/>
      <w:jc w:val="center"/>
    </w:pPr>
    <w:rPr>
      <w:b/>
      <w:caps/>
    </w:rPr>
  </w:style>
  <w:style w:type="paragraph" w:styleId="Verzeichnis1">
    <w:name w:val="toc 1"/>
    <w:basedOn w:val="Standard"/>
    <w:next w:val="Standard"/>
    <w:uiPriority w:val="39"/>
    <w:unhideWhenUsed/>
    <w:rsid w:val="00B93747"/>
    <w:pPr>
      <w:tabs>
        <w:tab w:val="left" w:pos="567"/>
        <w:tab w:val="right" w:leader="dot" w:pos="4252"/>
      </w:tabs>
      <w:spacing w:after="100"/>
      <w:ind w:left="567" w:right="425" w:hanging="567"/>
      <w:contextualSpacing/>
    </w:pPr>
    <w:rPr>
      <w:rFonts w:cs="Arial"/>
      <w:b/>
    </w:rPr>
  </w:style>
  <w:style w:type="paragraph" w:styleId="Verzeichnis3">
    <w:name w:val="toc 3"/>
    <w:basedOn w:val="Standard"/>
    <w:next w:val="Standard"/>
    <w:uiPriority w:val="39"/>
    <w:unhideWhenUsed/>
    <w:rsid w:val="00B93747"/>
    <w:pPr>
      <w:tabs>
        <w:tab w:val="left" w:pos="1701"/>
        <w:tab w:val="right" w:leader="dot" w:pos="4252"/>
      </w:tabs>
      <w:spacing w:after="0"/>
      <w:ind w:left="567" w:right="425" w:hanging="567"/>
      <w:contextualSpacing/>
    </w:pPr>
    <w:rPr>
      <w:rFonts w:cs="Arial"/>
      <w:b/>
    </w:rPr>
  </w:style>
  <w:style w:type="numbering" w:customStyle="1" w:styleId="TWSchriftsatzAntragNummerierung">
    <w:name w:val="TW Schriftsatz Antrag Nummerierung"/>
    <w:uiPriority w:val="99"/>
    <w:rsid w:val="00F85113"/>
    <w:pPr>
      <w:numPr>
        <w:numId w:val="6"/>
      </w:numPr>
    </w:pPr>
  </w:style>
  <w:style w:type="paragraph" w:styleId="Verzeichnis4">
    <w:name w:val="toc 4"/>
    <w:basedOn w:val="Standard"/>
    <w:next w:val="Standard"/>
    <w:uiPriority w:val="39"/>
    <w:unhideWhenUsed/>
    <w:rsid w:val="00B93747"/>
    <w:pPr>
      <w:tabs>
        <w:tab w:val="left" w:pos="2268"/>
        <w:tab w:val="right" w:leader="dot" w:pos="4252"/>
      </w:tabs>
      <w:spacing w:after="0"/>
      <w:ind w:left="567" w:right="425" w:hanging="567"/>
      <w:contextualSpacing/>
    </w:pPr>
    <w:rPr>
      <w:rFonts w:cs="Arial"/>
      <w:b/>
    </w:rPr>
  </w:style>
  <w:style w:type="paragraph" w:styleId="Verzeichnis5">
    <w:name w:val="toc 5"/>
    <w:basedOn w:val="Standard"/>
    <w:next w:val="Standard"/>
    <w:uiPriority w:val="39"/>
    <w:unhideWhenUsed/>
    <w:rsid w:val="00B93747"/>
    <w:pPr>
      <w:tabs>
        <w:tab w:val="left" w:pos="2835"/>
        <w:tab w:val="right" w:leader="dot" w:pos="4252"/>
      </w:tabs>
      <w:spacing w:after="0"/>
      <w:ind w:left="567" w:right="425" w:hanging="567"/>
      <w:contextualSpacing/>
    </w:pPr>
    <w:rPr>
      <w:rFonts w:cs="Arial"/>
      <w:b/>
    </w:rPr>
  </w:style>
  <w:style w:type="paragraph" w:styleId="Verzeichnis6">
    <w:name w:val="toc 6"/>
    <w:basedOn w:val="Standard"/>
    <w:next w:val="Standard"/>
    <w:uiPriority w:val="39"/>
    <w:unhideWhenUsed/>
    <w:rsid w:val="00B93747"/>
    <w:pPr>
      <w:tabs>
        <w:tab w:val="left" w:pos="3402"/>
        <w:tab w:val="right" w:leader="dot" w:pos="4252"/>
      </w:tabs>
      <w:spacing w:after="0"/>
      <w:ind w:left="567" w:right="425" w:hanging="567"/>
      <w:contextualSpacing/>
    </w:pPr>
    <w:rPr>
      <w:rFonts w:cs="Arial"/>
      <w:b/>
    </w:rPr>
  </w:style>
  <w:style w:type="paragraph" w:styleId="Verzeichnis7">
    <w:name w:val="toc 7"/>
    <w:basedOn w:val="Standard"/>
    <w:next w:val="Standard"/>
    <w:uiPriority w:val="39"/>
    <w:unhideWhenUsed/>
    <w:rsid w:val="00B93747"/>
    <w:pPr>
      <w:tabs>
        <w:tab w:val="left" w:pos="3969"/>
        <w:tab w:val="right" w:leader="dot" w:pos="4252"/>
      </w:tabs>
      <w:spacing w:after="0"/>
      <w:ind w:left="567" w:right="425" w:hanging="567"/>
      <w:contextualSpacing/>
    </w:pPr>
    <w:rPr>
      <w:rFonts w:cs="Arial"/>
      <w:b/>
    </w:rPr>
  </w:style>
  <w:style w:type="numbering" w:customStyle="1" w:styleId="TWTabelleDD">
    <w:name w:val="TW Tabelle DD"/>
    <w:uiPriority w:val="99"/>
    <w:rsid w:val="00A401A2"/>
    <w:pPr>
      <w:numPr>
        <w:numId w:val="15"/>
      </w:numPr>
    </w:pPr>
  </w:style>
  <w:style w:type="paragraph" w:styleId="Kopfzeile">
    <w:name w:val="header"/>
    <w:basedOn w:val="Standard"/>
    <w:link w:val="KopfzeileZchn"/>
    <w:uiPriority w:val="99"/>
    <w:unhideWhenUsed/>
    <w:rsid w:val="001805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055F"/>
  </w:style>
  <w:style w:type="paragraph" w:styleId="Fuzeile">
    <w:name w:val="footer"/>
    <w:basedOn w:val="Standard"/>
    <w:link w:val="FuzeileZchn"/>
    <w:uiPriority w:val="99"/>
    <w:unhideWhenUsed/>
    <w:rsid w:val="001805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055F"/>
  </w:style>
  <w:style w:type="paragraph" w:styleId="Listenabsatz">
    <w:name w:val="List Paragraph"/>
    <w:basedOn w:val="Standard"/>
    <w:uiPriority w:val="34"/>
    <w:qFormat/>
    <w:rsid w:val="00D32FF2"/>
    <w:pPr>
      <w:ind w:left="720"/>
      <w:contextualSpacing/>
    </w:pPr>
  </w:style>
  <w:style w:type="paragraph" w:styleId="Sprechblasentext">
    <w:name w:val="Balloon Text"/>
    <w:basedOn w:val="Standard"/>
    <w:link w:val="SprechblasentextZchn"/>
    <w:uiPriority w:val="99"/>
    <w:semiHidden/>
    <w:unhideWhenUsed/>
    <w:rsid w:val="009539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3923"/>
    <w:rPr>
      <w:rFonts w:ascii="Tahoma" w:hAnsi="Tahoma" w:cs="Tahoma"/>
      <w:sz w:val="16"/>
      <w:szCs w:val="16"/>
    </w:rPr>
  </w:style>
  <w:style w:type="character" w:customStyle="1" w:styleId="st">
    <w:name w:val="st"/>
    <w:basedOn w:val="Absatz-Standardschriftart"/>
    <w:rsid w:val="00162BA5"/>
  </w:style>
  <w:style w:type="character" w:styleId="Hervorhebung">
    <w:name w:val="Emphasis"/>
    <w:basedOn w:val="Absatz-Standardschriftart"/>
    <w:uiPriority w:val="20"/>
    <w:qFormat/>
    <w:rsid w:val="00162B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6665">
      <w:bodyDiv w:val="1"/>
      <w:marLeft w:val="0"/>
      <w:marRight w:val="0"/>
      <w:marTop w:val="0"/>
      <w:marBottom w:val="0"/>
      <w:divBdr>
        <w:top w:val="none" w:sz="0" w:space="0" w:color="auto"/>
        <w:left w:val="none" w:sz="0" w:space="0" w:color="auto"/>
        <w:bottom w:val="none" w:sz="0" w:space="0" w:color="auto"/>
        <w:right w:val="none" w:sz="0" w:space="0" w:color="auto"/>
      </w:divBdr>
    </w:div>
    <w:div w:id="727262214">
      <w:bodyDiv w:val="1"/>
      <w:marLeft w:val="0"/>
      <w:marRight w:val="0"/>
      <w:marTop w:val="0"/>
      <w:marBottom w:val="0"/>
      <w:divBdr>
        <w:top w:val="none" w:sz="0" w:space="0" w:color="auto"/>
        <w:left w:val="none" w:sz="0" w:space="0" w:color="auto"/>
        <w:bottom w:val="none" w:sz="0" w:space="0" w:color="auto"/>
        <w:right w:val="none" w:sz="0" w:space="0" w:color="auto"/>
      </w:divBdr>
      <w:divsChild>
        <w:div w:id="513808674">
          <w:marLeft w:val="0"/>
          <w:marRight w:val="0"/>
          <w:marTop w:val="0"/>
          <w:marBottom w:val="0"/>
          <w:divBdr>
            <w:top w:val="none" w:sz="0" w:space="0" w:color="auto"/>
            <w:left w:val="none" w:sz="0" w:space="0" w:color="auto"/>
            <w:bottom w:val="none" w:sz="0" w:space="0" w:color="auto"/>
            <w:right w:val="none" w:sz="0" w:space="0" w:color="auto"/>
          </w:divBdr>
          <w:divsChild>
            <w:div w:id="1117677062">
              <w:marLeft w:val="0"/>
              <w:marRight w:val="0"/>
              <w:marTop w:val="0"/>
              <w:marBottom w:val="0"/>
              <w:divBdr>
                <w:top w:val="none" w:sz="0" w:space="0" w:color="auto"/>
                <w:left w:val="none" w:sz="0" w:space="0" w:color="auto"/>
                <w:bottom w:val="none" w:sz="0" w:space="0" w:color="auto"/>
                <w:right w:val="none" w:sz="0" w:space="0" w:color="auto"/>
              </w:divBdr>
              <w:divsChild>
                <w:div w:id="512913094">
                  <w:marLeft w:val="0"/>
                  <w:marRight w:val="0"/>
                  <w:marTop w:val="0"/>
                  <w:marBottom w:val="0"/>
                  <w:divBdr>
                    <w:top w:val="none" w:sz="0" w:space="0" w:color="auto"/>
                    <w:left w:val="none" w:sz="0" w:space="0" w:color="auto"/>
                    <w:bottom w:val="none" w:sz="0" w:space="0" w:color="auto"/>
                    <w:right w:val="none" w:sz="0" w:space="0" w:color="auto"/>
                  </w:divBdr>
                  <w:divsChild>
                    <w:div w:id="655766779">
                      <w:marLeft w:val="0"/>
                      <w:marRight w:val="0"/>
                      <w:marTop w:val="0"/>
                      <w:marBottom w:val="0"/>
                      <w:divBdr>
                        <w:top w:val="none" w:sz="0" w:space="0" w:color="auto"/>
                        <w:left w:val="none" w:sz="0" w:space="0" w:color="auto"/>
                        <w:bottom w:val="none" w:sz="0" w:space="0" w:color="auto"/>
                        <w:right w:val="none" w:sz="0" w:space="0" w:color="auto"/>
                      </w:divBdr>
                      <w:divsChild>
                        <w:div w:id="525413347">
                          <w:marLeft w:val="0"/>
                          <w:marRight w:val="0"/>
                          <w:marTop w:val="0"/>
                          <w:marBottom w:val="0"/>
                          <w:divBdr>
                            <w:top w:val="none" w:sz="0" w:space="0" w:color="auto"/>
                            <w:left w:val="none" w:sz="0" w:space="0" w:color="auto"/>
                            <w:bottom w:val="none" w:sz="0" w:space="0" w:color="auto"/>
                            <w:right w:val="none" w:sz="0" w:space="0" w:color="auto"/>
                          </w:divBdr>
                          <w:divsChild>
                            <w:div w:id="449519281">
                              <w:marLeft w:val="0"/>
                              <w:marRight w:val="0"/>
                              <w:marTop w:val="0"/>
                              <w:marBottom w:val="0"/>
                              <w:divBdr>
                                <w:top w:val="none" w:sz="0" w:space="0" w:color="auto"/>
                                <w:left w:val="none" w:sz="0" w:space="0" w:color="auto"/>
                                <w:bottom w:val="none" w:sz="0" w:space="0" w:color="auto"/>
                                <w:right w:val="none" w:sz="0" w:space="0" w:color="auto"/>
                              </w:divBdr>
                            </w:div>
                            <w:div w:id="2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258689">
      <w:bodyDiv w:val="1"/>
      <w:marLeft w:val="0"/>
      <w:marRight w:val="0"/>
      <w:marTop w:val="0"/>
      <w:marBottom w:val="0"/>
      <w:divBdr>
        <w:top w:val="none" w:sz="0" w:space="0" w:color="auto"/>
        <w:left w:val="none" w:sz="0" w:space="0" w:color="auto"/>
        <w:bottom w:val="none" w:sz="0" w:space="0" w:color="auto"/>
        <w:right w:val="none" w:sz="0" w:space="0" w:color="auto"/>
      </w:divBdr>
      <w:divsChild>
        <w:div w:id="1343514786">
          <w:marLeft w:val="0"/>
          <w:marRight w:val="0"/>
          <w:marTop w:val="0"/>
          <w:marBottom w:val="0"/>
          <w:divBdr>
            <w:top w:val="none" w:sz="0" w:space="0" w:color="auto"/>
            <w:left w:val="none" w:sz="0" w:space="0" w:color="auto"/>
            <w:bottom w:val="none" w:sz="0" w:space="0" w:color="auto"/>
            <w:right w:val="none" w:sz="0" w:space="0" w:color="auto"/>
          </w:divBdr>
          <w:divsChild>
            <w:div w:id="2010056903">
              <w:marLeft w:val="0"/>
              <w:marRight w:val="0"/>
              <w:marTop w:val="0"/>
              <w:marBottom w:val="0"/>
              <w:divBdr>
                <w:top w:val="none" w:sz="0" w:space="0" w:color="auto"/>
                <w:left w:val="none" w:sz="0" w:space="0" w:color="auto"/>
                <w:bottom w:val="none" w:sz="0" w:space="0" w:color="auto"/>
                <w:right w:val="none" w:sz="0" w:space="0" w:color="auto"/>
              </w:divBdr>
              <w:divsChild>
                <w:div w:id="765687966">
                  <w:marLeft w:val="0"/>
                  <w:marRight w:val="450"/>
                  <w:marTop w:val="0"/>
                  <w:marBottom w:val="0"/>
                  <w:divBdr>
                    <w:top w:val="none" w:sz="0" w:space="0" w:color="auto"/>
                    <w:left w:val="none" w:sz="0" w:space="0" w:color="auto"/>
                    <w:bottom w:val="none" w:sz="0" w:space="0" w:color="auto"/>
                    <w:right w:val="none" w:sz="0" w:space="0" w:color="auto"/>
                  </w:divBdr>
                  <w:divsChild>
                    <w:div w:id="6554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54599">
      <w:bodyDiv w:val="1"/>
      <w:marLeft w:val="0"/>
      <w:marRight w:val="0"/>
      <w:marTop w:val="0"/>
      <w:marBottom w:val="0"/>
      <w:divBdr>
        <w:top w:val="none" w:sz="0" w:space="0" w:color="auto"/>
        <w:left w:val="none" w:sz="0" w:space="0" w:color="auto"/>
        <w:bottom w:val="none" w:sz="0" w:space="0" w:color="auto"/>
        <w:right w:val="none" w:sz="0" w:space="0" w:color="auto"/>
      </w:divBdr>
      <w:divsChild>
        <w:div w:id="1555770985">
          <w:marLeft w:val="0"/>
          <w:marRight w:val="0"/>
          <w:marTop w:val="0"/>
          <w:marBottom w:val="0"/>
          <w:divBdr>
            <w:top w:val="none" w:sz="0" w:space="0" w:color="auto"/>
            <w:left w:val="none" w:sz="0" w:space="0" w:color="auto"/>
            <w:bottom w:val="none" w:sz="0" w:space="0" w:color="auto"/>
            <w:right w:val="none" w:sz="0" w:space="0" w:color="auto"/>
          </w:divBdr>
          <w:divsChild>
            <w:div w:id="1571960538">
              <w:marLeft w:val="0"/>
              <w:marRight w:val="0"/>
              <w:marTop w:val="0"/>
              <w:marBottom w:val="0"/>
              <w:divBdr>
                <w:top w:val="none" w:sz="0" w:space="0" w:color="auto"/>
                <w:left w:val="none" w:sz="0" w:space="0" w:color="auto"/>
                <w:bottom w:val="none" w:sz="0" w:space="0" w:color="auto"/>
                <w:right w:val="none" w:sz="0" w:space="0" w:color="auto"/>
              </w:divBdr>
              <w:divsChild>
                <w:div w:id="16588034">
                  <w:marLeft w:val="0"/>
                  <w:marRight w:val="450"/>
                  <w:marTop w:val="0"/>
                  <w:marBottom w:val="0"/>
                  <w:divBdr>
                    <w:top w:val="none" w:sz="0" w:space="0" w:color="auto"/>
                    <w:left w:val="none" w:sz="0" w:space="0" w:color="auto"/>
                    <w:bottom w:val="none" w:sz="0" w:space="0" w:color="auto"/>
                    <w:right w:val="none" w:sz="0" w:space="0" w:color="auto"/>
                  </w:divBdr>
                  <w:divsChild>
                    <w:div w:id="10790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Taylor Wessing">
      <a:dk1>
        <a:srgbClr val="51626F"/>
      </a:dk1>
      <a:lt1>
        <a:srgbClr val="97A1A9"/>
      </a:lt1>
      <a:dk2>
        <a:srgbClr val="00C78B"/>
      </a:dk2>
      <a:lt2>
        <a:srgbClr val="33D2A2"/>
      </a:lt2>
      <a:accent1>
        <a:srgbClr val="66DDB9"/>
      </a:accent1>
      <a:accent2>
        <a:srgbClr val="CCF4E8"/>
      </a:accent2>
      <a:accent3>
        <a:srgbClr val="00ADD0"/>
      </a:accent3>
      <a:accent4>
        <a:srgbClr val="80D6E8"/>
      </a:accent4>
      <a:accent5>
        <a:srgbClr val="C21DAC"/>
      </a:accent5>
      <a:accent6>
        <a:srgbClr val="E18ED6"/>
      </a:accent6>
      <a:hlink>
        <a:srgbClr val="6639B7"/>
      </a:hlink>
      <a:folHlink>
        <a:srgbClr val="B39CDB"/>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9208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Taylor Wessing</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TaylorWessing</dc:creator>
  <cp:lastModifiedBy>Monik Boissier</cp:lastModifiedBy>
  <cp:revision>8</cp:revision>
  <cp:lastPrinted>2021-12-15T12:22:00Z</cp:lastPrinted>
  <dcterms:created xsi:type="dcterms:W3CDTF">2021-12-15T12:23:00Z</dcterms:created>
  <dcterms:modified xsi:type="dcterms:W3CDTF">2021-12-21T05:24:00Z</dcterms:modified>
</cp:coreProperties>
</file>